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DA84" w14:textId="77777777" w:rsidR="00974462" w:rsidRDefault="00F81978">
      <w:pPr>
        <w:jc w:val="center"/>
        <w:rPr>
          <w:b/>
          <w:sz w:val="24"/>
          <w:szCs w:val="24"/>
        </w:rPr>
      </w:pPr>
      <w:r>
        <w:rPr>
          <w:b/>
          <w:sz w:val="24"/>
          <w:szCs w:val="24"/>
        </w:rPr>
        <w:t>Colorado’s Early Hearing Detection and Intervention (EHDI) Program</w:t>
      </w:r>
    </w:p>
    <w:p w14:paraId="0DA4D598" w14:textId="77777777" w:rsidR="00974462" w:rsidRDefault="00F81978">
      <w:pPr>
        <w:jc w:val="center"/>
        <w:rPr>
          <w:b/>
          <w:sz w:val="24"/>
          <w:szCs w:val="24"/>
        </w:rPr>
      </w:pPr>
      <w:r>
        <w:rPr>
          <w:b/>
          <w:sz w:val="24"/>
          <w:szCs w:val="24"/>
        </w:rPr>
        <w:t>SUBGRANT APPLICATIONS</w:t>
      </w:r>
    </w:p>
    <w:p w14:paraId="07A2E151" w14:textId="77777777" w:rsidR="00974462" w:rsidRDefault="00F81978">
      <w:pPr>
        <w:jc w:val="center"/>
        <w:rPr>
          <w:b/>
          <w:sz w:val="24"/>
          <w:szCs w:val="24"/>
        </w:rPr>
      </w:pPr>
      <w:r>
        <w:rPr>
          <w:b/>
          <w:sz w:val="24"/>
          <w:szCs w:val="24"/>
        </w:rPr>
        <w:t>2021-2022</w:t>
      </w:r>
    </w:p>
    <w:p w14:paraId="0EAAA3A4" w14:textId="77777777" w:rsidR="00974462" w:rsidRDefault="00974462">
      <w:pPr>
        <w:jc w:val="center"/>
        <w:rPr>
          <w:b/>
          <w:sz w:val="24"/>
          <w:szCs w:val="24"/>
        </w:rPr>
      </w:pPr>
    </w:p>
    <w:p w14:paraId="43547B6E" w14:textId="77777777" w:rsidR="00974462" w:rsidRDefault="00F81978">
      <w:pPr>
        <w:jc w:val="center"/>
        <w:rPr>
          <w:sz w:val="24"/>
          <w:szCs w:val="24"/>
        </w:rPr>
      </w:pPr>
      <w:r>
        <w:rPr>
          <w:b/>
          <w:sz w:val="24"/>
          <w:szCs w:val="24"/>
        </w:rPr>
        <w:t>Writing and Submitting</w:t>
      </w:r>
      <w:r>
        <w:rPr>
          <w:b/>
          <w:sz w:val="24"/>
          <w:szCs w:val="24"/>
        </w:rPr>
        <w:t xml:space="preserve"> a Quality Application</w:t>
      </w:r>
    </w:p>
    <w:p w14:paraId="1B101549" w14:textId="77777777" w:rsidR="00974462" w:rsidRDefault="00974462">
      <w:pPr>
        <w:rPr>
          <w:sz w:val="24"/>
          <w:szCs w:val="24"/>
        </w:rPr>
      </w:pPr>
    </w:p>
    <w:p w14:paraId="530D61B1" w14:textId="77777777" w:rsidR="00974462" w:rsidRDefault="00F81978">
      <w:pPr>
        <w:jc w:val="center"/>
        <w:rPr>
          <w:b/>
          <w:sz w:val="24"/>
          <w:szCs w:val="24"/>
        </w:rPr>
      </w:pPr>
      <w:r>
        <w:rPr>
          <w:b/>
          <w:sz w:val="24"/>
          <w:szCs w:val="24"/>
        </w:rPr>
        <w:t>Instructions</w:t>
      </w:r>
    </w:p>
    <w:p w14:paraId="4369AAC7" w14:textId="77777777" w:rsidR="00974462" w:rsidRDefault="00974462">
      <w:pPr>
        <w:rPr>
          <w:b/>
          <w:sz w:val="24"/>
          <w:szCs w:val="24"/>
        </w:rPr>
      </w:pPr>
    </w:p>
    <w:p w14:paraId="47C96836" w14:textId="77777777" w:rsidR="00974462" w:rsidRDefault="00F81978">
      <w:pPr>
        <w:rPr>
          <w:b/>
          <w:sz w:val="24"/>
          <w:szCs w:val="24"/>
        </w:rPr>
      </w:pPr>
      <w:r>
        <w:rPr>
          <w:b/>
          <w:sz w:val="24"/>
          <w:szCs w:val="24"/>
        </w:rPr>
        <w:t>Background</w:t>
      </w:r>
    </w:p>
    <w:p w14:paraId="14AFCA3E" w14:textId="77777777" w:rsidR="00974462" w:rsidRDefault="00F81978">
      <w:pPr>
        <w:rPr>
          <w:sz w:val="24"/>
          <w:szCs w:val="24"/>
        </w:rPr>
      </w:pPr>
      <w:r>
        <w:rPr>
          <w:sz w:val="24"/>
          <w:szCs w:val="24"/>
        </w:rPr>
        <w:t>On April 1, 2020, a four-year grant was awarded to the Colorado Department of Human Services (Colorado Commission for the Deaf, Hard of Hearing and Deafblind and the Office of Early Childhood) by the Health Resources and Services Administration (HRSA) to s</w:t>
      </w:r>
      <w:r>
        <w:rPr>
          <w:sz w:val="24"/>
          <w:szCs w:val="24"/>
        </w:rPr>
        <w:t xml:space="preserve">upport a review and refresh of the state’s Early Hearing Detection and Intervention (EHDI) system. A novel aspect of our work is to create an advisory committee - The Colorado EHDI Alliance - which includes members of </w:t>
      </w:r>
      <w:proofErr w:type="gramStart"/>
      <w:r>
        <w:rPr>
          <w:sz w:val="24"/>
          <w:szCs w:val="24"/>
        </w:rPr>
        <w:t>each  organization</w:t>
      </w:r>
      <w:proofErr w:type="gramEnd"/>
      <w:r>
        <w:rPr>
          <w:sz w:val="24"/>
          <w:szCs w:val="24"/>
        </w:rPr>
        <w:t xml:space="preserve"> that offers family-</w:t>
      </w:r>
      <w:r>
        <w:rPr>
          <w:sz w:val="24"/>
          <w:szCs w:val="24"/>
        </w:rPr>
        <w:t xml:space="preserve">to-family support, representatives from state and community agencies involved in EHDI, parents of children who are deaf or hard of hearing (DHH), and DHH adults. Another novel aspect of the </w:t>
      </w:r>
      <w:proofErr w:type="spellStart"/>
      <w:r>
        <w:rPr>
          <w:sz w:val="24"/>
          <w:szCs w:val="24"/>
        </w:rPr>
        <w:t>the</w:t>
      </w:r>
      <w:proofErr w:type="spellEnd"/>
      <w:r>
        <w:rPr>
          <w:sz w:val="24"/>
          <w:szCs w:val="24"/>
        </w:rPr>
        <w:t xml:space="preserve"> HRSA grant is to distribute funds, via subgrants, </w:t>
      </w:r>
      <w:proofErr w:type="gramStart"/>
      <w:r>
        <w:rPr>
          <w:sz w:val="24"/>
          <w:szCs w:val="24"/>
        </w:rPr>
        <w:t>in order to</w:t>
      </w:r>
      <w:proofErr w:type="gramEnd"/>
      <w:r>
        <w:rPr>
          <w:sz w:val="24"/>
          <w:szCs w:val="24"/>
        </w:rPr>
        <w:t xml:space="preserve"> </w:t>
      </w:r>
      <w:r>
        <w:rPr>
          <w:sz w:val="24"/>
          <w:szCs w:val="24"/>
        </w:rPr>
        <w:t>address these three priorities:</w:t>
      </w:r>
    </w:p>
    <w:p w14:paraId="36EE7235" w14:textId="77777777" w:rsidR="00974462" w:rsidRDefault="00F81978">
      <w:pPr>
        <w:numPr>
          <w:ilvl w:val="0"/>
          <w:numId w:val="6"/>
        </w:numPr>
        <w:tabs>
          <w:tab w:val="left" w:pos="3960"/>
        </w:tabs>
        <w:rPr>
          <w:sz w:val="24"/>
          <w:szCs w:val="24"/>
        </w:rPr>
      </w:pPr>
      <w:r>
        <w:rPr>
          <w:sz w:val="24"/>
          <w:szCs w:val="24"/>
        </w:rPr>
        <w:t>Resources for Spanish-Speaking Families</w:t>
      </w:r>
    </w:p>
    <w:p w14:paraId="74A0323E" w14:textId="77777777" w:rsidR="00974462" w:rsidRDefault="00F81978">
      <w:pPr>
        <w:numPr>
          <w:ilvl w:val="0"/>
          <w:numId w:val="6"/>
        </w:numPr>
        <w:tabs>
          <w:tab w:val="left" w:pos="3960"/>
        </w:tabs>
        <w:rPr>
          <w:sz w:val="24"/>
          <w:szCs w:val="24"/>
        </w:rPr>
      </w:pPr>
      <w:r>
        <w:rPr>
          <w:sz w:val="24"/>
          <w:szCs w:val="24"/>
        </w:rPr>
        <w:t xml:space="preserve">Family-to-Family Support </w:t>
      </w:r>
    </w:p>
    <w:p w14:paraId="40B4704E" w14:textId="77777777" w:rsidR="00974462" w:rsidRDefault="00F81978">
      <w:pPr>
        <w:numPr>
          <w:ilvl w:val="0"/>
          <w:numId w:val="6"/>
        </w:numPr>
        <w:tabs>
          <w:tab w:val="left" w:pos="3960"/>
        </w:tabs>
        <w:rPr>
          <w:sz w:val="24"/>
          <w:szCs w:val="24"/>
        </w:rPr>
      </w:pPr>
      <w:r>
        <w:rPr>
          <w:sz w:val="24"/>
          <w:szCs w:val="24"/>
        </w:rPr>
        <w:t xml:space="preserve">Professional Development </w:t>
      </w:r>
    </w:p>
    <w:p w14:paraId="65453CDF" w14:textId="77777777" w:rsidR="00974462" w:rsidRDefault="00974462">
      <w:pPr>
        <w:tabs>
          <w:tab w:val="left" w:pos="3960"/>
        </w:tabs>
        <w:spacing w:line="360" w:lineRule="auto"/>
        <w:rPr>
          <w:sz w:val="24"/>
          <w:szCs w:val="24"/>
        </w:rPr>
      </w:pPr>
    </w:p>
    <w:p w14:paraId="2C3D1D5E" w14:textId="77777777" w:rsidR="00974462" w:rsidRDefault="00F81978">
      <w:pPr>
        <w:tabs>
          <w:tab w:val="left" w:pos="3960"/>
        </w:tabs>
        <w:rPr>
          <w:sz w:val="24"/>
          <w:szCs w:val="24"/>
        </w:rPr>
      </w:pPr>
      <w:r>
        <w:rPr>
          <w:sz w:val="24"/>
          <w:szCs w:val="24"/>
        </w:rPr>
        <w:t xml:space="preserve">This communique describes </w:t>
      </w:r>
      <w:r>
        <w:rPr>
          <w:i/>
          <w:sz w:val="24"/>
          <w:szCs w:val="24"/>
        </w:rPr>
        <w:t>how organizations and</w:t>
      </w:r>
      <w:r>
        <w:rPr>
          <w:i/>
          <w:strike/>
          <w:sz w:val="24"/>
          <w:szCs w:val="24"/>
        </w:rPr>
        <w:t xml:space="preserve"> </w:t>
      </w:r>
      <w:r>
        <w:rPr>
          <w:i/>
          <w:sz w:val="24"/>
          <w:szCs w:val="24"/>
        </w:rPr>
        <w:t>community groups can apply for subgrants</w:t>
      </w:r>
      <w:r>
        <w:rPr>
          <w:sz w:val="24"/>
          <w:szCs w:val="24"/>
        </w:rPr>
        <w:t xml:space="preserve"> to support activities and outcomes in the </w:t>
      </w:r>
      <w:r>
        <w:rPr>
          <w:sz w:val="24"/>
          <w:szCs w:val="24"/>
        </w:rPr>
        <w:t xml:space="preserve">three above-mentioned areas. </w:t>
      </w:r>
    </w:p>
    <w:p w14:paraId="3F9C5745" w14:textId="77777777" w:rsidR="00974462" w:rsidRDefault="00F81978">
      <w:pPr>
        <w:tabs>
          <w:tab w:val="left" w:pos="3960"/>
        </w:tabs>
        <w:rPr>
          <w:sz w:val="24"/>
          <w:szCs w:val="24"/>
        </w:rPr>
      </w:pPr>
      <w:r>
        <w:rPr>
          <w:i/>
          <w:sz w:val="24"/>
          <w:szCs w:val="24"/>
        </w:rPr>
        <w:t xml:space="preserve">Applicants may apply for grants in one or more of the </w:t>
      </w:r>
      <w:proofErr w:type="gramStart"/>
      <w:r>
        <w:rPr>
          <w:i/>
          <w:sz w:val="24"/>
          <w:szCs w:val="24"/>
        </w:rPr>
        <w:t>above mentioned</w:t>
      </w:r>
      <w:proofErr w:type="gramEnd"/>
      <w:r>
        <w:rPr>
          <w:i/>
          <w:sz w:val="24"/>
          <w:szCs w:val="24"/>
        </w:rPr>
        <w:t xml:space="preserve"> areas; however, applicants must submit a separate application for each content area</w:t>
      </w:r>
      <w:r>
        <w:rPr>
          <w:sz w:val="24"/>
          <w:szCs w:val="24"/>
        </w:rPr>
        <w:t>.</w:t>
      </w:r>
      <w:r>
        <w:rPr>
          <w:color w:val="FF0000"/>
          <w:sz w:val="24"/>
          <w:szCs w:val="24"/>
        </w:rPr>
        <w:t xml:space="preserve"> </w:t>
      </w:r>
      <w:r>
        <w:rPr>
          <w:sz w:val="24"/>
          <w:szCs w:val="24"/>
        </w:rPr>
        <w:t xml:space="preserve">There are funding limits for individual grant applications as outlined </w:t>
      </w:r>
      <w:r>
        <w:rPr>
          <w:sz w:val="24"/>
          <w:szCs w:val="24"/>
        </w:rPr>
        <w:t>below. Subgrants will be available each year (2020-2024; although amounts may vary) and organizations may apply for funding each year.</w:t>
      </w:r>
    </w:p>
    <w:p w14:paraId="6BCCCDC7" w14:textId="77777777" w:rsidR="00974462" w:rsidRDefault="00974462">
      <w:pPr>
        <w:rPr>
          <w:sz w:val="24"/>
          <w:szCs w:val="24"/>
        </w:rPr>
      </w:pPr>
    </w:p>
    <w:p w14:paraId="2AFF31B9" w14:textId="77777777" w:rsidR="00974462" w:rsidRDefault="00F81978">
      <w:pPr>
        <w:rPr>
          <w:sz w:val="24"/>
          <w:szCs w:val="24"/>
        </w:rPr>
      </w:pPr>
      <w:r>
        <w:rPr>
          <w:sz w:val="24"/>
          <w:szCs w:val="24"/>
        </w:rPr>
        <w:t>This year, the funding period will start on August 1, 2021 and run through the end of this fiscal year, which is March 3</w:t>
      </w:r>
      <w:r>
        <w:rPr>
          <w:sz w:val="24"/>
          <w:szCs w:val="24"/>
        </w:rPr>
        <w:t xml:space="preserve">1, 2022. The subgrant limits associated with each priority are:  </w:t>
      </w:r>
    </w:p>
    <w:p w14:paraId="1B234560" w14:textId="77777777" w:rsidR="00974462" w:rsidRDefault="00F81978">
      <w:pPr>
        <w:numPr>
          <w:ilvl w:val="0"/>
          <w:numId w:val="5"/>
        </w:numPr>
        <w:tabs>
          <w:tab w:val="left" w:pos="3960"/>
        </w:tabs>
        <w:rPr>
          <w:sz w:val="24"/>
          <w:szCs w:val="24"/>
        </w:rPr>
      </w:pPr>
      <w:r>
        <w:rPr>
          <w:sz w:val="24"/>
          <w:szCs w:val="24"/>
        </w:rPr>
        <w:t>Resources for Spanish-Speaking Families: Limit of $2,000/subgrant application</w:t>
      </w:r>
    </w:p>
    <w:p w14:paraId="33292C13" w14:textId="77777777" w:rsidR="00974462" w:rsidRDefault="00F81978">
      <w:pPr>
        <w:numPr>
          <w:ilvl w:val="0"/>
          <w:numId w:val="5"/>
        </w:numPr>
        <w:tabs>
          <w:tab w:val="left" w:pos="3960"/>
        </w:tabs>
        <w:rPr>
          <w:sz w:val="24"/>
          <w:szCs w:val="24"/>
        </w:rPr>
      </w:pPr>
      <w:r>
        <w:rPr>
          <w:sz w:val="24"/>
          <w:szCs w:val="24"/>
        </w:rPr>
        <w:t>Organizations offering Family-to-Family Supports: Limit of $3,500/subgrant application</w:t>
      </w:r>
    </w:p>
    <w:p w14:paraId="4D8C9138" w14:textId="77777777" w:rsidR="00974462" w:rsidRDefault="00F81978">
      <w:pPr>
        <w:numPr>
          <w:ilvl w:val="0"/>
          <w:numId w:val="5"/>
        </w:numPr>
        <w:tabs>
          <w:tab w:val="left" w:pos="3960"/>
        </w:tabs>
        <w:rPr>
          <w:sz w:val="24"/>
          <w:szCs w:val="24"/>
        </w:rPr>
      </w:pPr>
      <w:r>
        <w:rPr>
          <w:sz w:val="24"/>
          <w:szCs w:val="24"/>
        </w:rPr>
        <w:t>Professional Development:</w:t>
      </w:r>
      <w:r>
        <w:rPr>
          <w:sz w:val="24"/>
          <w:szCs w:val="24"/>
        </w:rPr>
        <w:t xml:space="preserve"> Limit of $3,500/subgrant application</w:t>
      </w:r>
    </w:p>
    <w:p w14:paraId="24ABF3A7" w14:textId="77777777" w:rsidR="00974462" w:rsidRDefault="00974462">
      <w:pPr>
        <w:tabs>
          <w:tab w:val="left" w:pos="3960"/>
        </w:tabs>
        <w:ind w:left="720"/>
        <w:rPr>
          <w:sz w:val="24"/>
          <w:szCs w:val="24"/>
        </w:rPr>
      </w:pPr>
    </w:p>
    <w:p w14:paraId="73AF0D21" w14:textId="77777777" w:rsidR="00974462" w:rsidRDefault="00974462">
      <w:pPr>
        <w:tabs>
          <w:tab w:val="left" w:pos="3960"/>
        </w:tabs>
        <w:spacing w:line="360" w:lineRule="auto"/>
        <w:rPr>
          <w:sz w:val="24"/>
          <w:szCs w:val="24"/>
        </w:rPr>
      </w:pPr>
    </w:p>
    <w:p w14:paraId="1D97A56C" w14:textId="77777777" w:rsidR="00974462" w:rsidRDefault="00974462">
      <w:pPr>
        <w:tabs>
          <w:tab w:val="left" w:pos="3960"/>
        </w:tabs>
        <w:spacing w:line="360" w:lineRule="auto"/>
        <w:rPr>
          <w:sz w:val="24"/>
          <w:szCs w:val="24"/>
        </w:rPr>
      </w:pPr>
    </w:p>
    <w:p w14:paraId="5DB1F294" w14:textId="77777777" w:rsidR="00974462" w:rsidRDefault="00974462">
      <w:pPr>
        <w:tabs>
          <w:tab w:val="left" w:pos="3960"/>
        </w:tabs>
        <w:spacing w:line="360" w:lineRule="auto"/>
        <w:rPr>
          <w:sz w:val="24"/>
          <w:szCs w:val="24"/>
        </w:rPr>
      </w:pPr>
    </w:p>
    <w:p w14:paraId="0EB40983" w14:textId="77777777" w:rsidR="00974462" w:rsidRDefault="00974462">
      <w:pPr>
        <w:tabs>
          <w:tab w:val="left" w:pos="3960"/>
        </w:tabs>
        <w:spacing w:line="360" w:lineRule="auto"/>
        <w:rPr>
          <w:b/>
          <w:sz w:val="24"/>
          <w:szCs w:val="24"/>
        </w:rPr>
      </w:pPr>
    </w:p>
    <w:p w14:paraId="2BDD8FBA" w14:textId="77777777" w:rsidR="00974462" w:rsidRDefault="00F81978">
      <w:pPr>
        <w:tabs>
          <w:tab w:val="left" w:pos="3960"/>
        </w:tabs>
        <w:spacing w:line="360" w:lineRule="auto"/>
        <w:jc w:val="center"/>
        <w:rPr>
          <w:b/>
          <w:sz w:val="24"/>
          <w:szCs w:val="24"/>
        </w:rPr>
      </w:pPr>
      <w:proofErr w:type="gramStart"/>
      <w:r>
        <w:rPr>
          <w:b/>
          <w:sz w:val="24"/>
          <w:szCs w:val="24"/>
        </w:rPr>
        <w:t>In order to</w:t>
      </w:r>
      <w:proofErr w:type="gramEnd"/>
      <w:r>
        <w:rPr>
          <w:b/>
          <w:sz w:val="24"/>
          <w:szCs w:val="24"/>
        </w:rPr>
        <w:t xml:space="preserve"> create a complete and competitive subgrant application, please follow these instructions. </w:t>
      </w:r>
    </w:p>
    <w:p w14:paraId="6DDFA1B1" w14:textId="77777777" w:rsidR="00974462" w:rsidRDefault="00974462">
      <w:pPr>
        <w:tabs>
          <w:tab w:val="left" w:pos="3960"/>
        </w:tabs>
        <w:spacing w:line="360" w:lineRule="auto"/>
        <w:rPr>
          <w:sz w:val="24"/>
          <w:szCs w:val="24"/>
        </w:rPr>
      </w:pPr>
    </w:p>
    <w:p w14:paraId="374AFC50" w14:textId="77777777" w:rsidR="00974462" w:rsidRDefault="00F81978">
      <w:pPr>
        <w:numPr>
          <w:ilvl w:val="0"/>
          <w:numId w:val="4"/>
        </w:numPr>
        <w:ind w:left="360"/>
        <w:rPr>
          <w:b/>
          <w:sz w:val="24"/>
          <w:szCs w:val="24"/>
        </w:rPr>
      </w:pPr>
      <w:r>
        <w:rPr>
          <w:b/>
          <w:sz w:val="24"/>
          <w:szCs w:val="24"/>
        </w:rPr>
        <w:t>Required Materials for Subgrant Application</w:t>
      </w:r>
    </w:p>
    <w:p w14:paraId="52BE4A06" w14:textId="77777777" w:rsidR="00974462" w:rsidRDefault="00F81978">
      <w:pPr>
        <w:numPr>
          <w:ilvl w:val="0"/>
          <w:numId w:val="3"/>
        </w:numPr>
        <w:rPr>
          <w:sz w:val="24"/>
          <w:szCs w:val="24"/>
        </w:rPr>
      </w:pPr>
      <w:r>
        <w:rPr>
          <w:sz w:val="24"/>
          <w:szCs w:val="24"/>
        </w:rPr>
        <w:t xml:space="preserve">COEHDI Alliance Subgrant Application (Sections I-XI). This application is available on our website at: </w:t>
      </w:r>
      <w:hyperlink r:id="rId7">
        <w:r>
          <w:rPr>
            <w:color w:val="1155CC"/>
            <w:sz w:val="24"/>
            <w:szCs w:val="24"/>
            <w:u w:val="single"/>
          </w:rPr>
          <w:t>www.coehdi.org</w:t>
        </w:r>
      </w:hyperlink>
      <w:r>
        <w:rPr>
          <w:sz w:val="24"/>
          <w:szCs w:val="24"/>
        </w:rPr>
        <w:t xml:space="preserve"> </w:t>
      </w:r>
    </w:p>
    <w:p w14:paraId="692AB486" w14:textId="77777777" w:rsidR="00974462" w:rsidRDefault="00F81978">
      <w:pPr>
        <w:numPr>
          <w:ilvl w:val="0"/>
          <w:numId w:val="3"/>
        </w:numPr>
        <w:rPr>
          <w:sz w:val="24"/>
          <w:szCs w:val="24"/>
        </w:rPr>
      </w:pPr>
      <w:r>
        <w:rPr>
          <w:sz w:val="24"/>
          <w:szCs w:val="24"/>
        </w:rPr>
        <w:t>Budget Worksheet to accompany the budget narrative (Section XI in the application)</w:t>
      </w:r>
    </w:p>
    <w:p w14:paraId="265C6B8C" w14:textId="77777777" w:rsidR="00974462" w:rsidRDefault="00F81978">
      <w:pPr>
        <w:numPr>
          <w:ilvl w:val="0"/>
          <w:numId w:val="3"/>
        </w:numPr>
        <w:tabs>
          <w:tab w:val="left" w:pos="3960"/>
        </w:tabs>
        <w:rPr>
          <w:sz w:val="24"/>
          <w:szCs w:val="24"/>
        </w:rPr>
      </w:pPr>
      <w:r>
        <w:rPr>
          <w:sz w:val="24"/>
          <w:szCs w:val="24"/>
        </w:rPr>
        <w:t>Grant applica</w:t>
      </w:r>
      <w:r>
        <w:rPr>
          <w:sz w:val="24"/>
          <w:szCs w:val="24"/>
        </w:rPr>
        <w:t xml:space="preserve">tions should be no more than 5 pages in length, single spaced, Times New Roman 12-point font, </w:t>
      </w:r>
      <w:proofErr w:type="gramStart"/>
      <w:r>
        <w:rPr>
          <w:sz w:val="24"/>
          <w:szCs w:val="24"/>
        </w:rPr>
        <w:t>1 inch</w:t>
      </w:r>
      <w:proofErr w:type="gramEnd"/>
      <w:r>
        <w:rPr>
          <w:sz w:val="24"/>
          <w:szCs w:val="24"/>
        </w:rPr>
        <w:t xml:space="preserve"> margins.</w:t>
      </w:r>
    </w:p>
    <w:p w14:paraId="42969ECB" w14:textId="77777777" w:rsidR="00974462" w:rsidRDefault="00974462">
      <w:pPr>
        <w:rPr>
          <w:sz w:val="24"/>
          <w:szCs w:val="24"/>
        </w:rPr>
      </w:pPr>
    </w:p>
    <w:p w14:paraId="2756AFC8" w14:textId="77777777" w:rsidR="00974462" w:rsidRDefault="00F81978">
      <w:pPr>
        <w:numPr>
          <w:ilvl w:val="0"/>
          <w:numId w:val="4"/>
        </w:numPr>
        <w:ind w:left="360"/>
        <w:rPr>
          <w:b/>
          <w:sz w:val="24"/>
          <w:szCs w:val="24"/>
        </w:rPr>
      </w:pPr>
      <w:r>
        <w:rPr>
          <w:b/>
          <w:sz w:val="24"/>
          <w:szCs w:val="24"/>
        </w:rPr>
        <w:t>Reporting</w:t>
      </w:r>
    </w:p>
    <w:p w14:paraId="43A263EC" w14:textId="77777777" w:rsidR="00974462" w:rsidRDefault="00F81978">
      <w:pPr>
        <w:numPr>
          <w:ilvl w:val="0"/>
          <w:numId w:val="1"/>
        </w:numPr>
        <w:rPr>
          <w:sz w:val="24"/>
          <w:szCs w:val="24"/>
        </w:rPr>
      </w:pPr>
      <w:r>
        <w:rPr>
          <w:sz w:val="24"/>
          <w:szCs w:val="24"/>
        </w:rPr>
        <w:t>Each subgrantee is responsible for the maintenance and reporting of subgrant activities.</w:t>
      </w:r>
    </w:p>
    <w:p w14:paraId="47E02D86" w14:textId="77777777" w:rsidR="00974462" w:rsidRDefault="00F81978">
      <w:pPr>
        <w:numPr>
          <w:ilvl w:val="0"/>
          <w:numId w:val="1"/>
        </w:numPr>
        <w:rPr>
          <w:sz w:val="24"/>
          <w:szCs w:val="24"/>
        </w:rPr>
      </w:pPr>
      <w:r>
        <w:rPr>
          <w:sz w:val="24"/>
          <w:szCs w:val="24"/>
        </w:rPr>
        <w:t xml:space="preserve">Each sub-grantee is responsible for reporting </w:t>
      </w:r>
      <w:r>
        <w:rPr>
          <w:sz w:val="24"/>
          <w:szCs w:val="24"/>
        </w:rPr>
        <w:t>outcomes of subgrant activities to the Colorado EHDI Alliance at the end of the fiscal year (</w:t>
      </w:r>
      <w:proofErr w:type="gramStart"/>
      <w:r>
        <w:rPr>
          <w:sz w:val="24"/>
          <w:szCs w:val="24"/>
        </w:rPr>
        <w:t>March,</w:t>
      </w:r>
      <w:proofErr w:type="gramEnd"/>
      <w:r>
        <w:rPr>
          <w:sz w:val="24"/>
          <w:szCs w:val="24"/>
        </w:rPr>
        <w:t xml:space="preserve"> 2022). This report is due by April 30, 2022. </w:t>
      </w:r>
    </w:p>
    <w:p w14:paraId="7E3F50E2" w14:textId="77777777" w:rsidR="00974462" w:rsidRDefault="00974462">
      <w:pPr>
        <w:ind w:left="720"/>
        <w:rPr>
          <w:sz w:val="24"/>
          <w:szCs w:val="24"/>
        </w:rPr>
      </w:pPr>
    </w:p>
    <w:p w14:paraId="5E0EDAD2" w14:textId="77777777" w:rsidR="00974462" w:rsidRDefault="00F81978">
      <w:pPr>
        <w:numPr>
          <w:ilvl w:val="0"/>
          <w:numId w:val="4"/>
        </w:numPr>
        <w:ind w:left="360"/>
        <w:rPr>
          <w:b/>
          <w:sz w:val="24"/>
          <w:szCs w:val="24"/>
        </w:rPr>
      </w:pPr>
      <w:r>
        <w:rPr>
          <w:b/>
          <w:sz w:val="24"/>
          <w:szCs w:val="24"/>
        </w:rPr>
        <w:t>Funding</w:t>
      </w:r>
    </w:p>
    <w:p w14:paraId="7AED99B4" w14:textId="77777777" w:rsidR="00974462" w:rsidRDefault="00F81978">
      <w:pPr>
        <w:rPr>
          <w:sz w:val="24"/>
          <w:szCs w:val="24"/>
        </w:rPr>
      </w:pPr>
      <w:r>
        <w:rPr>
          <w:sz w:val="24"/>
          <w:szCs w:val="24"/>
        </w:rPr>
        <w:t>All grants are funded on a cost-reimbursable basis unless approval for advance payments by the Colorado Commission for the Deaf, Hard of Hearing and Deafblind (CCDHHDB) is made. To be reimbursed, grantees will submit quarterly invoices to the CCDHHDB for e</w:t>
      </w:r>
      <w:r>
        <w:rPr>
          <w:sz w:val="24"/>
          <w:szCs w:val="24"/>
        </w:rPr>
        <w:t>ligible grant expenses incurred in the previous month(s). Checks for approved expenses will be mailed approximately three weeks following receipt of the grantee’s invoice.</w:t>
      </w:r>
    </w:p>
    <w:p w14:paraId="082E926B" w14:textId="77777777" w:rsidR="00974462" w:rsidRDefault="00974462">
      <w:pPr>
        <w:rPr>
          <w:sz w:val="24"/>
          <w:szCs w:val="24"/>
        </w:rPr>
      </w:pPr>
    </w:p>
    <w:p w14:paraId="7DB3C871" w14:textId="77777777" w:rsidR="00974462" w:rsidRDefault="00F81978">
      <w:pPr>
        <w:numPr>
          <w:ilvl w:val="0"/>
          <w:numId w:val="4"/>
        </w:numPr>
        <w:ind w:left="360"/>
        <w:rPr>
          <w:b/>
          <w:sz w:val="24"/>
          <w:szCs w:val="24"/>
        </w:rPr>
      </w:pPr>
      <w:r>
        <w:rPr>
          <w:b/>
          <w:sz w:val="24"/>
          <w:szCs w:val="24"/>
        </w:rPr>
        <w:t>Contractual Authority</w:t>
      </w:r>
    </w:p>
    <w:p w14:paraId="751D9261" w14:textId="77777777" w:rsidR="00974462" w:rsidRDefault="00F81978">
      <w:pPr>
        <w:rPr>
          <w:sz w:val="24"/>
          <w:szCs w:val="24"/>
        </w:rPr>
      </w:pPr>
      <w:r>
        <w:rPr>
          <w:sz w:val="24"/>
          <w:szCs w:val="24"/>
        </w:rPr>
        <w:t>All successful grant recipients must be willing to enter into</w:t>
      </w:r>
      <w:r>
        <w:rPr>
          <w:sz w:val="24"/>
          <w:szCs w:val="24"/>
        </w:rPr>
        <w:t xml:space="preserve"> a contractually binding agreement as prescribed by the Colorado Department of Human Services and the State of Colorado Fiscal Rules if needed. Adherence to confidentiality laws and proof of insurance are required if the recipient intends to provide direct</w:t>
      </w:r>
      <w:r>
        <w:rPr>
          <w:sz w:val="24"/>
          <w:szCs w:val="24"/>
        </w:rPr>
        <w:t xml:space="preserve"> services to clients through the grant proceeds.</w:t>
      </w:r>
    </w:p>
    <w:p w14:paraId="0A8592D8" w14:textId="77777777" w:rsidR="00974462" w:rsidRDefault="00974462">
      <w:pPr>
        <w:rPr>
          <w:sz w:val="24"/>
          <w:szCs w:val="24"/>
        </w:rPr>
      </w:pPr>
    </w:p>
    <w:p w14:paraId="415F28D5" w14:textId="77777777" w:rsidR="00974462" w:rsidRDefault="00F81978">
      <w:pPr>
        <w:numPr>
          <w:ilvl w:val="0"/>
          <w:numId w:val="4"/>
        </w:numPr>
        <w:ind w:left="360"/>
        <w:rPr>
          <w:b/>
          <w:sz w:val="24"/>
          <w:szCs w:val="24"/>
        </w:rPr>
      </w:pPr>
      <w:r>
        <w:rPr>
          <w:b/>
          <w:sz w:val="24"/>
          <w:szCs w:val="24"/>
        </w:rPr>
        <w:t>Grant Submission</w:t>
      </w:r>
    </w:p>
    <w:p w14:paraId="7AAE4E57" w14:textId="4A5F5E57" w:rsidR="00974462" w:rsidRDefault="00F81978">
      <w:pPr>
        <w:rPr>
          <w:sz w:val="24"/>
          <w:szCs w:val="24"/>
        </w:rPr>
      </w:pPr>
      <w:r>
        <w:rPr>
          <w:sz w:val="24"/>
          <w:szCs w:val="24"/>
        </w:rPr>
        <w:t xml:space="preserve">A subgrant application </w:t>
      </w:r>
      <w:proofErr w:type="gramStart"/>
      <w:r>
        <w:rPr>
          <w:sz w:val="24"/>
          <w:szCs w:val="24"/>
        </w:rPr>
        <w:t>can  be</w:t>
      </w:r>
      <w:proofErr w:type="gramEnd"/>
      <w:r>
        <w:rPr>
          <w:sz w:val="24"/>
          <w:szCs w:val="24"/>
        </w:rPr>
        <w:t xml:space="preserve"> submitted electronically, in PDF format, to </w:t>
      </w:r>
      <w:hyperlink r:id="rId8" w:history="1">
        <w:r w:rsidR="008C7181" w:rsidRPr="00C31BB5">
          <w:rPr>
            <w:rStyle w:val="Hyperlink"/>
            <w:sz w:val="24"/>
            <w:szCs w:val="24"/>
          </w:rPr>
          <w:t>grants@coehdi.org</w:t>
        </w:r>
      </w:hyperlink>
    </w:p>
    <w:p w14:paraId="7D2BBB77" w14:textId="77777777" w:rsidR="008C7181" w:rsidRDefault="008C7181">
      <w:pPr>
        <w:rPr>
          <w:sz w:val="24"/>
          <w:szCs w:val="24"/>
          <w:u w:val="single"/>
        </w:rPr>
      </w:pPr>
    </w:p>
    <w:p w14:paraId="0C004D14" w14:textId="77777777" w:rsidR="00974462" w:rsidRDefault="00974462">
      <w:pPr>
        <w:rPr>
          <w:sz w:val="24"/>
          <w:szCs w:val="24"/>
          <w:u w:val="single"/>
        </w:rPr>
      </w:pPr>
    </w:p>
    <w:p w14:paraId="0299BA48" w14:textId="77777777" w:rsidR="00974462" w:rsidRDefault="00F81978">
      <w:pPr>
        <w:numPr>
          <w:ilvl w:val="0"/>
          <w:numId w:val="4"/>
        </w:numPr>
        <w:ind w:left="360"/>
        <w:rPr>
          <w:b/>
          <w:sz w:val="24"/>
          <w:szCs w:val="24"/>
        </w:rPr>
      </w:pPr>
      <w:r>
        <w:rPr>
          <w:b/>
          <w:sz w:val="24"/>
          <w:szCs w:val="24"/>
        </w:rPr>
        <w:lastRenderedPageBreak/>
        <w:t>Application Deadline</w:t>
      </w:r>
    </w:p>
    <w:p w14:paraId="5E8C109B" w14:textId="77777777" w:rsidR="00974462" w:rsidRDefault="00F81978">
      <w:pPr>
        <w:rPr>
          <w:sz w:val="24"/>
          <w:szCs w:val="24"/>
        </w:rPr>
      </w:pPr>
      <w:r>
        <w:rPr>
          <w:sz w:val="24"/>
          <w:szCs w:val="24"/>
        </w:rPr>
        <w:t xml:space="preserve">The deadline for receipt of all applications is </w:t>
      </w:r>
      <w:r>
        <w:rPr>
          <w:b/>
          <w:sz w:val="24"/>
          <w:szCs w:val="24"/>
        </w:rPr>
        <w:t xml:space="preserve">Wednesday, June 30, 2021 at 4:00 p.m. MDT. </w:t>
      </w:r>
      <w:r>
        <w:rPr>
          <w:sz w:val="24"/>
          <w:szCs w:val="24"/>
        </w:rPr>
        <w:t xml:space="preserve">Applications that do not arrive by this deadline will </w:t>
      </w:r>
      <w:r>
        <w:rPr>
          <w:b/>
          <w:sz w:val="24"/>
          <w:szCs w:val="24"/>
          <w:u w:val="single"/>
        </w:rPr>
        <w:t>not</w:t>
      </w:r>
      <w:r>
        <w:rPr>
          <w:sz w:val="24"/>
          <w:szCs w:val="24"/>
        </w:rPr>
        <w:t xml:space="preserve"> be reviewed.  </w:t>
      </w:r>
    </w:p>
    <w:p w14:paraId="3E65E9D8" w14:textId="77777777" w:rsidR="00974462" w:rsidRDefault="00974462">
      <w:pPr>
        <w:rPr>
          <w:sz w:val="24"/>
          <w:szCs w:val="24"/>
          <w:u w:val="single"/>
        </w:rPr>
      </w:pPr>
    </w:p>
    <w:p w14:paraId="66C8E4A6" w14:textId="77777777" w:rsidR="00974462" w:rsidRDefault="00974462">
      <w:pPr>
        <w:rPr>
          <w:sz w:val="24"/>
          <w:szCs w:val="24"/>
          <w:u w:val="single"/>
        </w:rPr>
      </w:pPr>
    </w:p>
    <w:p w14:paraId="43F8A4B2" w14:textId="77777777" w:rsidR="00974462" w:rsidRDefault="00F81978">
      <w:pPr>
        <w:numPr>
          <w:ilvl w:val="0"/>
          <w:numId w:val="4"/>
        </w:numPr>
        <w:ind w:left="360"/>
        <w:rPr>
          <w:b/>
          <w:sz w:val="24"/>
          <w:szCs w:val="24"/>
        </w:rPr>
      </w:pPr>
      <w:r>
        <w:rPr>
          <w:b/>
          <w:sz w:val="24"/>
          <w:szCs w:val="24"/>
        </w:rPr>
        <w:t>Applicant Assistance</w:t>
      </w:r>
    </w:p>
    <w:p w14:paraId="34D32C30" w14:textId="77777777" w:rsidR="00974462" w:rsidRDefault="00F81978">
      <w:pPr>
        <w:rPr>
          <w:sz w:val="24"/>
          <w:szCs w:val="24"/>
        </w:rPr>
      </w:pPr>
      <w:r>
        <w:rPr>
          <w:sz w:val="24"/>
          <w:szCs w:val="24"/>
        </w:rPr>
        <w:t xml:space="preserve">One of the Principal Investigators of our EHDI grant is available to </w:t>
      </w:r>
      <w:r>
        <w:rPr>
          <w:sz w:val="24"/>
          <w:szCs w:val="24"/>
        </w:rPr>
        <w:t>answer your questions and provide support. You can contact Cliff Moers at: cliff.moers@state.co.us</w:t>
      </w:r>
    </w:p>
    <w:p w14:paraId="2452FA04" w14:textId="77777777" w:rsidR="00974462" w:rsidRDefault="00974462">
      <w:pPr>
        <w:rPr>
          <w:sz w:val="24"/>
          <w:szCs w:val="24"/>
        </w:rPr>
      </w:pPr>
    </w:p>
    <w:p w14:paraId="1E4E375C" w14:textId="77777777" w:rsidR="00974462" w:rsidRDefault="00F81978">
      <w:pPr>
        <w:numPr>
          <w:ilvl w:val="0"/>
          <w:numId w:val="4"/>
        </w:numPr>
        <w:ind w:left="360"/>
        <w:rPr>
          <w:b/>
          <w:sz w:val="24"/>
          <w:szCs w:val="24"/>
        </w:rPr>
      </w:pPr>
      <w:r>
        <w:rPr>
          <w:b/>
          <w:sz w:val="24"/>
          <w:szCs w:val="24"/>
        </w:rPr>
        <w:t>Application Timeline</w:t>
      </w:r>
    </w:p>
    <w:p w14:paraId="39AE77F9" w14:textId="77777777" w:rsidR="00974462" w:rsidRDefault="00974462">
      <w:pPr>
        <w:rPr>
          <w:b/>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2268"/>
      </w:tblGrid>
      <w:tr w:rsidR="00974462" w14:paraId="621F9371" w14:textId="77777777">
        <w:trPr>
          <w:trHeight w:val="440"/>
        </w:trPr>
        <w:tc>
          <w:tcPr>
            <w:tcW w:w="7308" w:type="dxa"/>
            <w:shd w:val="clear" w:color="auto" w:fill="CCCCCC"/>
            <w:vAlign w:val="center"/>
          </w:tcPr>
          <w:p w14:paraId="753D6418" w14:textId="77777777" w:rsidR="00974462" w:rsidRDefault="00F81978">
            <w:pPr>
              <w:spacing w:after="120"/>
              <w:jc w:val="center"/>
              <w:rPr>
                <w:b/>
                <w:sz w:val="24"/>
                <w:szCs w:val="24"/>
              </w:rPr>
            </w:pPr>
            <w:r>
              <w:rPr>
                <w:b/>
                <w:sz w:val="24"/>
                <w:szCs w:val="24"/>
              </w:rPr>
              <w:t>Event/Task</w:t>
            </w:r>
          </w:p>
        </w:tc>
        <w:tc>
          <w:tcPr>
            <w:tcW w:w="2268" w:type="dxa"/>
            <w:shd w:val="clear" w:color="auto" w:fill="CCCCCC"/>
            <w:vAlign w:val="center"/>
          </w:tcPr>
          <w:p w14:paraId="4F35E85A" w14:textId="77777777" w:rsidR="00974462" w:rsidRDefault="00F81978">
            <w:pPr>
              <w:spacing w:after="120"/>
              <w:jc w:val="center"/>
              <w:rPr>
                <w:b/>
                <w:sz w:val="24"/>
                <w:szCs w:val="24"/>
              </w:rPr>
            </w:pPr>
            <w:r>
              <w:rPr>
                <w:b/>
                <w:sz w:val="24"/>
                <w:szCs w:val="24"/>
              </w:rPr>
              <w:t>Deadline</w:t>
            </w:r>
          </w:p>
        </w:tc>
      </w:tr>
      <w:tr w:rsidR="00974462" w14:paraId="2372FE58" w14:textId="77777777">
        <w:trPr>
          <w:trHeight w:val="440"/>
        </w:trPr>
        <w:tc>
          <w:tcPr>
            <w:tcW w:w="7308" w:type="dxa"/>
            <w:vAlign w:val="center"/>
          </w:tcPr>
          <w:p w14:paraId="70685294" w14:textId="77777777" w:rsidR="00974462" w:rsidRDefault="00F81978">
            <w:pPr>
              <w:spacing w:after="120"/>
              <w:rPr>
                <w:sz w:val="24"/>
                <w:szCs w:val="24"/>
              </w:rPr>
            </w:pPr>
            <w:r>
              <w:rPr>
                <w:sz w:val="24"/>
                <w:szCs w:val="24"/>
              </w:rPr>
              <w:t>Distribution of grant applications</w:t>
            </w:r>
          </w:p>
        </w:tc>
        <w:tc>
          <w:tcPr>
            <w:tcW w:w="2268" w:type="dxa"/>
            <w:vAlign w:val="center"/>
          </w:tcPr>
          <w:p w14:paraId="6D34F39F" w14:textId="77777777" w:rsidR="00974462" w:rsidRDefault="00F81978">
            <w:pPr>
              <w:spacing w:after="120"/>
              <w:rPr>
                <w:sz w:val="24"/>
                <w:szCs w:val="24"/>
              </w:rPr>
            </w:pPr>
            <w:r>
              <w:rPr>
                <w:sz w:val="24"/>
                <w:szCs w:val="24"/>
              </w:rPr>
              <w:t>May 17, 2021</w:t>
            </w:r>
          </w:p>
        </w:tc>
      </w:tr>
      <w:tr w:rsidR="00974462" w14:paraId="447976DC" w14:textId="77777777">
        <w:trPr>
          <w:trHeight w:val="440"/>
        </w:trPr>
        <w:tc>
          <w:tcPr>
            <w:tcW w:w="7308" w:type="dxa"/>
            <w:vAlign w:val="center"/>
          </w:tcPr>
          <w:p w14:paraId="0D9438E2" w14:textId="77777777" w:rsidR="00974462" w:rsidRDefault="00F81978">
            <w:pPr>
              <w:spacing w:after="120"/>
              <w:rPr>
                <w:sz w:val="24"/>
                <w:szCs w:val="24"/>
              </w:rPr>
            </w:pPr>
            <w:r>
              <w:rPr>
                <w:sz w:val="24"/>
                <w:szCs w:val="24"/>
              </w:rPr>
              <w:t>Application deadline</w:t>
            </w:r>
          </w:p>
        </w:tc>
        <w:tc>
          <w:tcPr>
            <w:tcW w:w="2268" w:type="dxa"/>
            <w:vAlign w:val="center"/>
          </w:tcPr>
          <w:p w14:paraId="0A56F173" w14:textId="77777777" w:rsidR="00974462" w:rsidRDefault="00F81978">
            <w:pPr>
              <w:spacing w:after="120"/>
              <w:rPr>
                <w:sz w:val="24"/>
                <w:szCs w:val="24"/>
              </w:rPr>
            </w:pPr>
            <w:r>
              <w:rPr>
                <w:sz w:val="24"/>
                <w:szCs w:val="24"/>
              </w:rPr>
              <w:t>June 30, 2021</w:t>
            </w:r>
          </w:p>
        </w:tc>
      </w:tr>
      <w:tr w:rsidR="00974462" w14:paraId="1DBBE246" w14:textId="77777777">
        <w:trPr>
          <w:trHeight w:val="440"/>
        </w:trPr>
        <w:tc>
          <w:tcPr>
            <w:tcW w:w="7308" w:type="dxa"/>
            <w:vAlign w:val="center"/>
          </w:tcPr>
          <w:p w14:paraId="02D1A49A" w14:textId="77777777" w:rsidR="00974462" w:rsidRDefault="00F81978">
            <w:pPr>
              <w:spacing w:after="120"/>
              <w:rPr>
                <w:sz w:val="24"/>
                <w:szCs w:val="24"/>
              </w:rPr>
            </w:pPr>
            <w:r>
              <w:rPr>
                <w:sz w:val="24"/>
                <w:szCs w:val="24"/>
              </w:rPr>
              <w:t>Applications reviewed by the Colorado EHDI Alliance Subcommittee</w:t>
            </w:r>
          </w:p>
        </w:tc>
        <w:tc>
          <w:tcPr>
            <w:tcW w:w="2268" w:type="dxa"/>
            <w:vAlign w:val="center"/>
          </w:tcPr>
          <w:p w14:paraId="3FA450C8" w14:textId="77777777" w:rsidR="00974462" w:rsidRDefault="00F81978">
            <w:pPr>
              <w:spacing w:after="120"/>
              <w:rPr>
                <w:sz w:val="24"/>
                <w:szCs w:val="24"/>
              </w:rPr>
            </w:pPr>
            <w:r>
              <w:rPr>
                <w:sz w:val="24"/>
                <w:szCs w:val="24"/>
              </w:rPr>
              <w:t>July 16, 2021</w:t>
            </w:r>
          </w:p>
        </w:tc>
      </w:tr>
      <w:tr w:rsidR="00974462" w14:paraId="0B04EBE9" w14:textId="77777777">
        <w:trPr>
          <w:trHeight w:val="440"/>
        </w:trPr>
        <w:tc>
          <w:tcPr>
            <w:tcW w:w="7308" w:type="dxa"/>
            <w:vAlign w:val="center"/>
          </w:tcPr>
          <w:p w14:paraId="4BE46B33" w14:textId="77777777" w:rsidR="00974462" w:rsidRDefault="00F81978">
            <w:pPr>
              <w:spacing w:after="120"/>
              <w:rPr>
                <w:sz w:val="24"/>
                <w:szCs w:val="24"/>
              </w:rPr>
            </w:pPr>
            <w:r>
              <w:rPr>
                <w:sz w:val="24"/>
                <w:szCs w:val="24"/>
              </w:rPr>
              <w:t>Award announcements</w:t>
            </w:r>
          </w:p>
        </w:tc>
        <w:tc>
          <w:tcPr>
            <w:tcW w:w="2268" w:type="dxa"/>
            <w:vAlign w:val="center"/>
          </w:tcPr>
          <w:p w14:paraId="14F16037" w14:textId="77777777" w:rsidR="00974462" w:rsidRDefault="00F81978">
            <w:pPr>
              <w:spacing w:after="120"/>
              <w:rPr>
                <w:sz w:val="24"/>
                <w:szCs w:val="24"/>
              </w:rPr>
            </w:pPr>
            <w:r>
              <w:rPr>
                <w:sz w:val="24"/>
                <w:szCs w:val="24"/>
              </w:rPr>
              <w:t xml:space="preserve">July 30, 2021 </w:t>
            </w:r>
          </w:p>
        </w:tc>
      </w:tr>
    </w:tbl>
    <w:p w14:paraId="56DAF986" w14:textId="77777777" w:rsidR="00974462" w:rsidRDefault="00974462">
      <w:pPr>
        <w:tabs>
          <w:tab w:val="center" w:pos="4320"/>
          <w:tab w:val="right" w:pos="8640"/>
        </w:tabs>
        <w:rPr>
          <w:sz w:val="24"/>
          <w:szCs w:val="24"/>
        </w:rPr>
      </w:pPr>
    </w:p>
    <w:p w14:paraId="29A36625" w14:textId="77777777" w:rsidR="00974462" w:rsidRDefault="00F81978">
      <w:pPr>
        <w:tabs>
          <w:tab w:val="center" w:pos="4320"/>
          <w:tab w:val="right" w:pos="8640"/>
        </w:tabs>
        <w:rPr>
          <w:sz w:val="24"/>
          <w:szCs w:val="24"/>
        </w:rPr>
      </w:pPr>
      <w:r>
        <w:rPr>
          <w:sz w:val="24"/>
          <w:szCs w:val="24"/>
        </w:rPr>
        <w:t>All dates are tentative and subject to change.</w:t>
      </w:r>
    </w:p>
    <w:p w14:paraId="7C925275" w14:textId="77777777" w:rsidR="00974462" w:rsidRDefault="00974462">
      <w:pPr>
        <w:rPr>
          <w:sz w:val="24"/>
          <w:szCs w:val="24"/>
        </w:rPr>
      </w:pPr>
    </w:p>
    <w:p w14:paraId="14725B7A" w14:textId="77777777" w:rsidR="00974462" w:rsidRDefault="00974462">
      <w:pPr>
        <w:rPr>
          <w:sz w:val="24"/>
          <w:szCs w:val="24"/>
        </w:rPr>
      </w:pPr>
    </w:p>
    <w:p w14:paraId="022C0C4C" w14:textId="77777777" w:rsidR="00974462" w:rsidRDefault="00F81978">
      <w:pPr>
        <w:jc w:val="center"/>
        <w:rPr>
          <w:b/>
          <w:sz w:val="24"/>
          <w:szCs w:val="24"/>
        </w:rPr>
      </w:pPr>
      <w:r>
        <w:rPr>
          <w:b/>
          <w:sz w:val="24"/>
          <w:szCs w:val="24"/>
        </w:rPr>
        <w:t xml:space="preserve">Tips </w:t>
      </w:r>
    </w:p>
    <w:p w14:paraId="6EE08331" w14:textId="77777777" w:rsidR="00974462" w:rsidRDefault="00974462">
      <w:pPr>
        <w:rPr>
          <w:sz w:val="24"/>
          <w:szCs w:val="24"/>
        </w:rPr>
      </w:pPr>
    </w:p>
    <w:p w14:paraId="3615E8DD" w14:textId="77777777" w:rsidR="00974462" w:rsidRDefault="00F81978">
      <w:pPr>
        <w:numPr>
          <w:ilvl w:val="0"/>
          <w:numId w:val="2"/>
        </w:numPr>
        <w:rPr>
          <w:sz w:val="24"/>
          <w:szCs w:val="24"/>
        </w:rPr>
      </w:pPr>
      <w:r>
        <w:rPr>
          <w:sz w:val="24"/>
          <w:szCs w:val="24"/>
        </w:rPr>
        <w:t>C</w:t>
      </w:r>
      <w:r>
        <w:rPr>
          <w:sz w:val="24"/>
          <w:szCs w:val="24"/>
        </w:rPr>
        <w:t xml:space="preserve">learly describe </w:t>
      </w:r>
      <w:r>
        <w:rPr>
          <w:sz w:val="24"/>
          <w:szCs w:val="24"/>
        </w:rPr>
        <w:t xml:space="preserve">the activities of </w:t>
      </w:r>
      <w:r>
        <w:rPr>
          <w:sz w:val="24"/>
          <w:szCs w:val="24"/>
        </w:rPr>
        <w:t xml:space="preserve">your group or organization. </w:t>
      </w:r>
      <w:r>
        <w:rPr>
          <w:sz w:val="24"/>
          <w:szCs w:val="24"/>
        </w:rPr>
        <w:t>Share with the grant</w:t>
      </w:r>
      <w:r>
        <w:rPr>
          <w:sz w:val="24"/>
          <w:szCs w:val="24"/>
        </w:rPr>
        <w:t xml:space="preserve"> </w:t>
      </w:r>
      <w:proofErr w:type="gramStart"/>
      <w:r>
        <w:rPr>
          <w:sz w:val="24"/>
          <w:szCs w:val="24"/>
        </w:rPr>
        <w:t>reviewers</w:t>
      </w:r>
      <w:proofErr w:type="gramEnd"/>
      <w:r>
        <w:rPr>
          <w:sz w:val="24"/>
          <w:szCs w:val="24"/>
        </w:rPr>
        <w:t xml:space="preserve"> details about your program and the types of services you provide.</w:t>
      </w:r>
      <w:r>
        <w:rPr>
          <w:sz w:val="24"/>
          <w:szCs w:val="24"/>
        </w:rPr>
        <w:t xml:space="preserve"> </w:t>
      </w:r>
    </w:p>
    <w:p w14:paraId="01932CA6" w14:textId="77777777" w:rsidR="00974462" w:rsidRDefault="00974462">
      <w:pPr>
        <w:ind w:left="720"/>
        <w:rPr>
          <w:sz w:val="24"/>
          <w:szCs w:val="24"/>
        </w:rPr>
      </w:pPr>
    </w:p>
    <w:p w14:paraId="06247EED" w14:textId="77777777" w:rsidR="00974462" w:rsidRDefault="00F81978">
      <w:pPr>
        <w:numPr>
          <w:ilvl w:val="0"/>
          <w:numId w:val="2"/>
        </w:numPr>
        <w:rPr>
          <w:sz w:val="24"/>
          <w:szCs w:val="24"/>
        </w:rPr>
      </w:pPr>
      <w:r>
        <w:rPr>
          <w:sz w:val="24"/>
          <w:szCs w:val="24"/>
        </w:rPr>
        <w:t xml:space="preserve">Clearly illustrate </w:t>
      </w:r>
      <w:r>
        <w:rPr>
          <w:sz w:val="24"/>
          <w:szCs w:val="24"/>
        </w:rPr>
        <w:t xml:space="preserve">your statement of need and the population that will benefit from </w:t>
      </w:r>
      <w:r>
        <w:rPr>
          <w:sz w:val="24"/>
          <w:szCs w:val="24"/>
        </w:rPr>
        <w:t>your</w:t>
      </w:r>
      <w:r>
        <w:rPr>
          <w:sz w:val="24"/>
          <w:szCs w:val="24"/>
        </w:rPr>
        <w:t xml:space="preserve"> activities. Clearly identify who will benefit from your proposed project. Explain why</w:t>
      </w:r>
      <w:r>
        <w:rPr>
          <w:sz w:val="24"/>
          <w:szCs w:val="24"/>
        </w:rPr>
        <w:t>.</w:t>
      </w:r>
    </w:p>
    <w:p w14:paraId="4125FA6E" w14:textId="77777777" w:rsidR="00974462" w:rsidRDefault="00974462">
      <w:pPr>
        <w:ind w:left="720"/>
        <w:rPr>
          <w:sz w:val="24"/>
          <w:szCs w:val="24"/>
        </w:rPr>
      </w:pPr>
    </w:p>
    <w:p w14:paraId="69051300" w14:textId="77777777" w:rsidR="00974462" w:rsidRDefault="00F81978">
      <w:pPr>
        <w:numPr>
          <w:ilvl w:val="0"/>
          <w:numId w:val="2"/>
        </w:numPr>
        <w:rPr>
          <w:sz w:val="24"/>
          <w:szCs w:val="24"/>
        </w:rPr>
      </w:pPr>
      <w:r>
        <w:rPr>
          <w:sz w:val="24"/>
          <w:szCs w:val="24"/>
        </w:rPr>
        <w:t>S</w:t>
      </w:r>
      <w:r>
        <w:rPr>
          <w:sz w:val="24"/>
          <w:szCs w:val="24"/>
        </w:rPr>
        <w:t>hare as much evidence</w:t>
      </w:r>
      <w:r>
        <w:rPr>
          <w:sz w:val="24"/>
          <w:szCs w:val="24"/>
        </w:rPr>
        <w:t xml:space="preserve">, including </w:t>
      </w:r>
      <w:r>
        <w:rPr>
          <w:sz w:val="24"/>
          <w:szCs w:val="24"/>
        </w:rPr>
        <w:t xml:space="preserve">data if it is available, </w:t>
      </w:r>
      <w:r>
        <w:rPr>
          <w:sz w:val="24"/>
          <w:szCs w:val="24"/>
        </w:rPr>
        <w:t>to</w:t>
      </w:r>
      <w:r>
        <w:rPr>
          <w:sz w:val="24"/>
          <w:szCs w:val="24"/>
        </w:rPr>
        <w:t xml:space="preserve"> demonstrate that your proposed project will work.</w:t>
      </w:r>
    </w:p>
    <w:p w14:paraId="02B6DB11" w14:textId="77777777" w:rsidR="00974462" w:rsidRDefault="00974462">
      <w:pPr>
        <w:ind w:left="720"/>
        <w:rPr>
          <w:sz w:val="24"/>
          <w:szCs w:val="24"/>
        </w:rPr>
      </w:pPr>
    </w:p>
    <w:p w14:paraId="3BFEDC84" w14:textId="77777777" w:rsidR="00974462" w:rsidRDefault="00F81978">
      <w:pPr>
        <w:numPr>
          <w:ilvl w:val="0"/>
          <w:numId w:val="2"/>
        </w:numPr>
        <w:rPr>
          <w:sz w:val="24"/>
          <w:szCs w:val="24"/>
        </w:rPr>
      </w:pPr>
      <w:r>
        <w:rPr>
          <w:sz w:val="24"/>
          <w:szCs w:val="24"/>
        </w:rPr>
        <w:t xml:space="preserve">Always keep the purpose of the grant in mind. Every funded project must clearly advance access to </w:t>
      </w:r>
      <w:r>
        <w:rPr>
          <w:sz w:val="24"/>
          <w:szCs w:val="24"/>
        </w:rPr>
        <w:t xml:space="preserve">quality </w:t>
      </w:r>
      <w:r>
        <w:rPr>
          <w:sz w:val="24"/>
          <w:szCs w:val="24"/>
        </w:rPr>
        <w:t>services for infants and to</w:t>
      </w:r>
      <w:r>
        <w:rPr>
          <w:sz w:val="24"/>
          <w:szCs w:val="24"/>
        </w:rPr>
        <w:t>ddlers who are deaf or hard of hearing, birth to 36 months of age, and their families.</w:t>
      </w:r>
    </w:p>
    <w:p w14:paraId="3B5E766B" w14:textId="77777777" w:rsidR="00974462" w:rsidRDefault="00974462">
      <w:pPr>
        <w:ind w:left="720"/>
        <w:rPr>
          <w:sz w:val="24"/>
          <w:szCs w:val="24"/>
        </w:rPr>
      </w:pPr>
    </w:p>
    <w:p w14:paraId="20D72AAC" w14:textId="20891362" w:rsidR="00974462" w:rsidRPr="008C7181" w:rsidRDefault="00F81978" w:rsidP="008C7181">
      <w:pPr>
        <w:numPr>
          <w:ilvl w:val="0"/>
          <w:numId w:val="2"/>
        </w:numPr>
        <w:rPr>
          <w:strike/>
          <w:sz w:val="24"/>
          <w:szCs w:val="24"/>
        </w:rPr>
      </w:pPr>
      <w:r w:rsidRPr="008C7181">
        <w:rPr>
          <w:sz w:val="24"/>
          <w:szCs w:val="24"/>
        </w:rPr>
        <w:t>Describe the ways in which your pro</w:t>
      </w:r>
      <w:r w:rsidRPr="008C7181">
        <w:rPr>
          <w:sz w:val="24"/>
          <w:szCs w:val="24"/>
        </w:rPr>
        <w:t>ject will be sustained when the funding period ends.</w:t>
      </w:r>
    </w:p>
    <w:sectPr w:rsidR="00974462" w:rsidRPr="008C718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ECB5" w14:textId="77777777" w:rsidR="00F81978" w:rsidRDefault="00F81978">
      <w:r>
        <w:separator/>
      </w:r>
    </w:p>
  </w:endnote>
  <w:endnote w:type="continuationSeparator" w:id="0">
    <w:p w14:paraId="78F0E5C9" w14:textId="77777777" w:rsidR="00F81978" w:rsidRDefault="00F8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D4E6" w14:textId="77777777" w:rsidR="00974462" w:rsidRDefault="00F81978">
    <w:pPr>
      <w:jc w:val="right"/>
    </w:pPr>
    <w:r>
      <w:t>Updated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3734" w14:textId="77777777" w:rsidR="00F81978" w:rsidRDefault="00F81978">
      <w:r>
        <w:separator/>
      </w:r>
    </w:p>
  </w:footnote>
  <w:footnote w:type="continuationSeparator" w:id="0">
    <w:p w14:paraId="6F110871" w14:textId="77777777" w:rsidR="00F81978" w:rsidRDefault="00F8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E5AE" w14:textId="6C440BD1" w:rsidR="008C7181" w:rsidRDefault="008C7181" w:rsidP="008C7181">
    <w:pPr>
      <w:pStyle w:val="Header"/>
      <w:jc w:val="center"/>
    </w:pPr>
    <w:r>
      <w:rPr>
        <w:noProof/>
      </w:rPr>
      <w:drawing>
        <wp:inline distT="0" distB="0" distL="0" distR="0" wp14:anchorId="617A2D8B" wp14:editId="2732126E">
          <wp:extent cx="4182894" cy="1080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DHHDB-EI logo 1.png"/>
                  <pic:cNvPicPr/>
                </pic:nvPicPr>
                <pic:blipFill>
                  <a:blip r:embed="rId1">
                    <a:extLst>
                      <a:ext uri="{28A0092B-C50C-407E-A947-70E740481C1C}">
                        <a14:useLocalDpi xmlns:a14="http://schemas.microsoft.com/office/drawing/2010/main" val="0"/>
                      </a:ext>
                    </a:extLst>
                  </a:blip>
                  <a:stretch>
                    <a:fillRect/>
                  </a:stretch>
                </pic:blipFill>
                <pic:spPr>
                  <a:xfrm>
                    <a:off x="0" y="0"/>
                    <a:ext cx="4245142" cy="1096662"/>
                  </a:xfrm>
                  <a:prstGeom prst="rect">
                    <a:avLst/>
                  </a:prstGeom>
                </pic:spPr>
              </pic:pic>
            </a:graphicData>
          </a:graphic>
        </wp:inline>
      </w:drawing>
    </w:r>
  </w:p>
  <w:p w14:paraId="03C8AAF9" w14:textId="77777777" w:rsidR="008C7181" w:rsidRDefault="008C7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23A0"/>
    <w:multiLevelType w:val="multilevel"/>
    <w:tmpl w:val="C2283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041A8A"/>
    <w:multiLevelType w:val="multilevel"/>
    <w:tmpl w:val="9E76BE2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73AA6"/>
    <w:multiLevelType w:val="multilevel"/>
    <w:tmpl w:val="5D642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E83B38"/>
    <w:multiLevelType w:val="multilevel"/>
    <w:tmpl w:val="1AB03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FF3686"/>
    <w:multiLevelType w:val="multilevel"/>
    <w:tmpl w:val="BE88E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BE16B1"/>
    <w:multiLevelType w:val="multilevel"/>
    <w:tmpl w:val="4E602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62"/>
    <w:rsid w:val="008C7181"/>
    <w:rsid w:val="00974462"/>
    <w:rsid w:val="00F8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455A9"/>
  <w15:docId w15:val="{5B67D05E-44DB-544C-8A63-29475651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semiHidden/>
    <w:unhideWhenUsed/>
    <w:qFormat/>
    <w:pPr>
      <w:keepNext/>
      <w:outlineLvl w:val="1"/>
    </w:pPr>
    <w:rPr>
      <w:b/>
      <w:sz w:val="22"/>
      <w:szCs w:val="22"/>
      <w:u w:val="single"/>
    </w:rPr>
  </w:style>
  <w:style w:type="paragraph" w:styleId="Heading3">
    <w:name w:val="heading 3"/>
    <w:basedOn w:val="Normal"/>
    <w:next w:val="Normal"/>
    <w:uiPriority w:val="9"/>
    <w:semiHidden/>
    <w:unhideWhenUsed/>
    <w:qFormat/>
    <w:pPr>
      <w:outlineLvl w:val="2"/>
    </w:pPr>
    <w:rPr>
      <w:b/>
    </w:rPr>
  </w:style>
  <w:style w:type="paragraph" w:styleId="Heading4">
    <w:name w:val="heading 4"/>
    <w:basedOn w:val="Normal"/>
    <w:next w:val="Normal"/>
    <w:uiPriority w:val="9"/>
    <w:semiHidden/>
    <w:unhideWhenUsed/>
    <w:qFormat/>
    <w:pPr>
      <w:keepNext/>
      <w:spacing w:before="240" w:after="60"/>
      <w:outlineLvl w:val="3"/>
    </w:pPr>
    <w:rPr>
      <w:u w:val="single"/>
    </w:rPr>
  </w:style>
  <w:style w:type="paragraph" w:styleId="Heading5">
    <w:name w:val="heading 5"/>
    <w:basedOn w:val="Normal"/>
    <w:next w:val="Normal"/>
    <w:uiPriority w:val="9"/>
    <w:semiHidden/>
    <w:unhideWhenUsed/>
    <w:qFormat/>
    <w:pPr>
      <w:keepNext/>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C7181"/>
    <w:pPr>
      <w:tabs>
        <w:tab w:val="center" w:pos="4680"/>
        <w:tab w:val="right" w:pos="9360"/>
      </w:tabs>
    </w:pPr>
  </w:style>
  <w:style w:type="character" w:customStyle="1" w:styleId="HeaderChar">
    <w:name w:val="Header Char"/>
    <w:basedOn w:val="DefaultParagraphFont"/>
    <w:link w:val="Header"/>
    <w:uiPriority w:val="99"/>
    <w:rsid w:val="008C7181"/>
  </w:style>
  <w:style w:type="paragraph" w:styleId="Footer">
    <w:name w:val="footer"/>
    <w:basedOn w:val="Normal"/>
    <w:link w:val="FooterChar"/>
    <w:uiPriority w:val="99"/>
    <w:unhideWhenUsed/>
    <w:rsid w:val="008C7181"/>
    <w:pPr>
      <w:tabs>
        <w:tab w:val="center" w:pos="4680"/>
        <w:tab w:val="right" w:pos="9360"/>
      </w:tabs>
    </w:pPr>
  </w:style>
  <w:style w:type="character" w:customStyle="1" w:styleId="FooterChar">
    <w:name w:val="Footer Char"/>
    <w:basedOn w:val="DefaultParagraphFont"/>
    <w:link w:val="Footer"/>
    <w:uiPriority w:val="99"/>
    <w:rsid w:val="008C7181"/>
  </w:style>
  <w:style w:type="character" w:styleId="Hyperlink">
    <w:name w:val="Hyperlink"/>
    <w:basedOn w:val="DefaultParagraphFont"/>
    <w:uiPriority w:val="99"/>
    <w:unhideWhenUsed/>
    <w:rsid w:val="008C7181"/>
    <w:rPr>
      <w:color w:val="0000FF" w:themeColor="hyperlink"/>
      <w:u w:val="single"/>
    </w:rPr>
  </w:style>
  <w:style w:type="character" w:styleId="UnresolvedMention">
    <w:name w:val="Unresolved Mention"/>
    <w:basedOn w:val="DefaultParagraphFont"/>
    <w:uiPriority w:val="99"/>
    <w:semiHidden/>
    <w:unhideWhenUsed/>
    <w:rsid w:val="008C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rants@coehdi.org" TargetMode="External"/><Relationship Id="rId3" Type="http://schemas.openxmlformats.org/officeDocument/2006/relationships/settings" Target="settings.xml"/><Relationship Id="rId7" Type="http://schemas.openxmlformats.org/officeDocument/2006/relationships/hyperlink" Target="http://www.coehd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2</cp:revision>
  <dcterms:created xsi:type="dcterms:W3CDTF">2021-05-10T21:29:00Z</dcterms:created>
  <dcterms:modified xsi:type="dcterms:W3CDTF">2021-05-10T21:30:00Z</dcterms:modified>
</cp:coreProperties>
</file>