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FEEC" w14:textId="77777777" w:rsidR="006668CB" w:rsidRPr="006C5353" w:rsidRDefault="00000000">
      <w:pPr>
        <w:jc w:val="center"/>
        <w:rPr>
          <w:b/>
          <w:sz w:val="24"/>
          <w:szCs w:val="24"/>
        </w:rPr>
      </w:pPr>
      <w:r w:rsidRPr="006C5353">
        <w:rPr>
          <w:b/>
          <w:sz w:val="24"/>
          <w:szCs w:val="24"/>
        </w:rPr>
        <w:t xml:space="preserve">Colorado EHDI </w:t>
      </w:r>
    </w:p>
    <w:p w14:paraId="122E8A9D" w14:textId="77777777" w:rsidR="006668CB" w:rsidRPr="006C5353" w:rsidRDefault="00000000">
      <w:pPr>
        <w:jc w:val="center"/>
        <w:rPr>
          <w:b/>
          <w:sz w:val="24"/>
          <w:szCs w:val="24"/>
        </w:rPr>
      </w:pPr>
      <w:r w:rsidRPr="006C5353">
        <w:rPr>
          <w:b/>
          <w:sz w:val="24"/>
          <w:szCs w:val="24"/>
        </w:rPr>
        <w:t xml:space="preserve">Screening Task Force </w:t>
      </w:r>
    </w:p>
    <w:p w14:paraId="1E886B93" w14:textId="77777777" w:rsidR="006668CB" w:rsidRPr="006C5353" w:rsidRDefault="006668CB">
      <w:pPr>
        <w:jc w:val="center"/>
        <w:rPr>
          <w:b/>
          <w:sz w:val="24"/>
          <w:szCs w:val="24"/>
        </w:rPr>
      </w:pPr>
    </w:p>
    <w:p w14:paraId="7293A544" w14:textId="77777777" w:rsidR="006668CB" w:rsidRPr="006C5353" w:rsidRDefault="00000000">
      <w:pPr>
        <w:jc w:val="center"/>
        <w:rPr>
          <w:b/>
          <w:sz w:val="24"/>
          <w:szCs w:val="24"/>
        </w:rPr>
      </w:pPr>
      <w:r w:rsidRPr="006C5353">
        <w:rPr>
          <w:b/>
          <w:sz w:val="24"/>
          <w:szCs w:val="24"/>
        </w:rPr>
        <w:t>Meeting Notes</w:t>
      </w:r>
    </w:p>
    <w:p w14:paraId="25380AC1" w14:textId="77777777" w:rsidR="006668CB" w:rsidRPr="006C5353" w:rsidRDefault="00000000">
      <w:pPr>
        <w:jc w:val="center"/>
        <w:rPr>
          <w:sz w:val="24"/>
          <w:szCs w:val="24"/>
        </w:rPr>
      </w:pPr>
      <w:r w:rsidRPr="006C5353">
        <w:rPr>
          <w:sz w:val="24"/>
          <w:szCs w:val="24"/>
        </w:rPr>
        <w:t>June 13, 2023</w:t>
      </w:r>
    </w:p>
    <w:p w14:paraId="72015B10" w14:textId="77777777" w:rsidR="006668CB" w:rsidRPr="006C5353" w:rsidRDefault="006668CB">
      <w:pPr>
        <w:rPr>
          <w:color w:val="FF0000"/>
          <w:sz w:val="24"/>
          <w:szCs w:val="24"/>
          <w:highlight w:val="yellow"/>
        </w:rPr>
      </w:pPr>
    </w:p>
    <w:tbl>
      <w:tblPr>
        <w:tblStyle w:val="a"/>
        <w:tblW w:w="15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2060"/>
      </w:tblGrid>
      <w:tr w:rsidR="006668CB" w:rsidRPr="006C5353" w14:paraId="1E6B2A69" w14:textId="77777777">
        <w:trPr>
          <w:trHeight w:val="420"/>
          <w:jc w:val="center"/>
        </w:trPr>
        <w:tc>
          <w:tcPr>
            <w:tcW w:w="15105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38F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Attendees</w:t>
            </w:r>
          </w:p>
        </w:tc>
      </w:tr>
      <w:tr w:rsidR="006668CB" w:rsidRPr="006C5353" w14:paraId="6EBC0E64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C03C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7938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6C5353">
              <w:rPr>
                <w:b/>
                <w:sz w:val="24"/>
                <w:szCs w:val="24"/>
                <w:highlight w:val="white"/>
              </w:rPr>
              <w:t>Role</w:t>
            </w:r>
          </w:p>
        </w:tc>
      </w:tr>
      <w:tr w:rsidR="006668CB" w:rsidRPr="006C5353" w14:paraId="1838FFD5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033F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C5353">
              <w:rPr>
                <w:sz w:val="24"/>
                <w:szCs w:val="24"/>
              </w:rPr>
              <w:t>Heather Abraham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5789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Notetaker &amp; Facilitator</w:t>
            </w:r>
          </w:p>
        </w:tc>
      </w:tr>
      <w:tr w:rsidR="006668CB" w:rsidRPr="006C5353" w14:paraId="6709835D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58C8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C5353">
              <w:rPr>
                <w:sz w:val="24"/>
                <w:szCs w:val="24"/>
              </w:rPr>
              <w:t xml:space="preserve">Arlene </w:t>
            </w:r>
            <w:proofErr w:type="spellStart"/>
            <w:r w:rsidRPr="006C5353">
              <w:rPr>
                <w:sz w:val="24"/>
                <w:szCs w:val="24"/>
              </w:rPr>
              <w:t>Stredler</w:t>
            </w:r>
            <w:proofErr w:type="spellEnd"/>
            <w:r w:rsidRPr="006C5353">
              <w:rPr>
                <w:sz w:val="24"/>
                <w:szCs w:val="24"/>
              </w:rPr>
              <w:t xml:space="preserve"> Brown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D8A7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Facilitator &amp; Notetaker</w:t>
            </w:r>
          </w:p>
        </w:tc>
      </w:tr>
      <w:tr w:rsidR="006668CB" w:rsidRPr="006C5353" w14:paraId="7E712429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7AFF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C5353">
              <w:rPr>
                <w:sz w:val="24"/>
                <w:szCs w:val="24"/>
              </w:rPr>
              <w:t xml:space="preserve">Becky </w:t>
            </w:r>
            <w:proofErr w:type="spellStart"/>
            <w:r w:rsidRPr="006C5353">
              <w:rPr>
                <w:sz w:val="24"/>
                <w:szCs w:val="24"/>
              </w:rPr>
              <w:t>Awad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7E47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 xml:space="preserve">Audiologist; Children’s Hospital of Colorado </w:t>
            </w:r>
          </w:p>
        </w:tc>
      </w:tr>
      <w:tr w:rsidR="006668CB" w:rsidRPr="006C5353" w14:paraId="38924858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25D7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 xml:space="preserve">Karen </w:t>
            </w:r>
            <w:proofErr w:type="spellStart"/>
            <w:r w:rsidRPr="006C5353">
              <w:rPr>
                <w:sz w:val="24"/>
                <w:szCs w:val="24"/>
                <w:highlight w:val="white"/>
              </w:rPr>
              <w:t>Brennhofer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8723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r w:rsidRPr="006C5353">
              <w:rPr>
                <w:sz w:val="24"/>
                <w:szCs w:val="24"/>
                <w:highlight w:val="white"/>
              </w:rPr>
              <w:t>Pediatrix</w:t>
            </w:r>
            <w:proofErr w:type="spellEnd"/>
            <w:r w:rsidRPr="006C5353">
              <w:rPr>
                <w:sz w:val="24"/>
                <w:szCs w:val="24"/>
                <w:highlight w:val="white"/>
              </w:rPr>
              <w:t>/Mednax</w:t>
            </w:r>
          </w:p>
        </w:tc>
      </w:tr>
      <w:tr w:rsidR="006668CB" w:rsidRPr="006C5353" w14:paraId="42C384B7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30E8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Jill Cimino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56C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CO-Hear Coordinator, Pikes Peak Region (extends to Kansas and NM borders)</w:t>
            </w:r>
          </w:p>
        </w:tc>
      </w:tr>
      <w:tr w:rsidR="006668CB" w:rsidRPr="006C5353" w14:paraId="1FA15CA8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2A48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Brenda Elliot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0923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Colorado Hands &amp; Voices</w:t>
            </w:r>
          </w:p>
        </w:tc>
      </w:tr>
      <w:tr w:rsidR="006668CB" w:rsidRPr="006C5353" w14:paraId="21E13CF1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63D0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Angela Harder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E0AE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Audiology Assistant; Children’s Hospital of Colorado - Colorado Springs</w:t>
            </w:r>
          </w:p>
        </w:tc>
      </w:tr>
      <w:tr w:rsidR="006668CB" w:rsidRPr="006C5353" w14:paraId="5C658942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B933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 xml:space="preserve">Stacy </w:t>
            </w:r>
            <w:proofErr w:type="spellStart"/>
            <w:r w:rsidRPr="006C5353">
              <w:rPr>
                <w:sz w:val="24"/>
                <w:szCs w:val="24"/>
                <w:highlight w:val="white"/>
              </w:rPr>
              <w:t>Stiel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B696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Audiologist, UC Health</w:t>
            </w:r>
          </w:p>
        </w:tc>
      </w:tr>
      <w:tr w:rsidR="006668CB" w:rsidRPr="006C5353" w14:paraId="0EC1BD4F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90FA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Christy Taylor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A529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r w:rsidRPr="006C5353">
              <w:rPr>
                <w:sz w:val="24"/>
                <w:szCs w:val="24"/>
                <w:highlight w:val="white"/>
              </w:rPr>
              <w:t>Pediatrix</w:t>
            </w:r>
            <w:proofErr w:type="spellEnd"/>
            <w:r w:rsidRPr="006C5353">
              <w:rPr>
                <w:sz w:val="24"/>
                <w:szCs w:val="24"/>
                <w:highlight w:val="white"/>
              </w:rPr>
              <w:t>/Mednax</w:t>
            </w:r>
          </w:p>
        </w:tc>
      </w:tr>
    </w:tbl>
    <w:p w14:paraId="39884801" w14:textId="77777777" w:rsidR="006668CB" w:rsidRPr="006C5353" w:rsidRDefault="006668CB">
      <w:pPr>
        <w:rPr>
          <w:b/>
          <w:sz w:val="24"/>
          <w:szCs w:val="24"/>
        </w:rPr>
      </w:pPr>
    </w:p>
    <w:p w14:paraId="3C3F3311" w14:textId="77777777" w:rsidR="006668CB" w:rsidRPr="006C5353" w:rsidRDefault="006668CB">
      <w:pPr>
        <w:rPr>
          <w:b/>
          <w:sz w:val="24"/>
          <w:szCs w:val="24"/>
        </w:rPr>
      </w:pPr>
    </w:p>
    <w:tbl>
      <w:tblPr>
        <w:tblStyle w:val="a0"/>
        <w:tblW w:w="15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0440"/>
        <w:gridCol w:w="2760"/>
      </w:tblGrid>
      <w:tr w:rsidR="006668CB" w:rsidRPr="006C5353" w14:paraId="4BE71204" w14:textId="77777777">
        <w:trPr>
          <w:trHeight w:val="420"/>
        </w:trPr>
        <w:tc>
          <w:tcPr>
            <w:tcW w:w="1239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F1CF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Agenda/Actions/Decisions</w:t>
            </w:r>
          </w:p>
        </w:tc>
        <w:tc>
          <w:tcPr>
            <w:tcW w:w="27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7BD9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Next Steps</w:t>
            </w:r>
          </w:p>
        </w:tc>
      </w:tr>
      <w:tr w:rsidR="006668CB" w:rsidRPr="006C5353" w14:paraId="3C21AD2F" w14:textId="77777777">
        <w:trPr>
          <w:trHeight w:val="42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09A7" w14:textId="77777777" w:rsidR="006668CB" w:rsidRPr="006C5353" w:rsidRDefault="00000000">
            <w:pPr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Packaging &amp; Distribution of Scripts</w:t>
            </w:r>
          </w:p>
          <w:p w14:paraId="0E9E4295" w14:textId="77777777" w:rsidR="006668CB" w:rsidRPr="006C5353" w:rsidRDefault="006668CB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0BCB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The task force has completed and approved the NBHS script language: </w:t>
            </w:r>
            <w:hyperlink r:id="rId5">
              <w:r w:rsidRPr="006C5353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Click Here</w:t>
              </w:r>
            </w:hyperlink>
          </w:p>
          <w:p w14:paraId="3A6A5765" w14:textId="77777777" w:rsidR="006668CB" w:rsidRPr="006C5353" w:rsidRDefault="006668CB">
            <w:pPr>
              <w:rPr>
                <w:color w:val="222222"/>
                <w:sz w:val="24"/>
                <w:szCs w:val="24"/>
                <w:highlight w:val="white"/>
              </w:rPr>
            </w:pPr>
          </w:p>
          <w:p w14:paraId="1CA77FB5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Today, we discussed the design of a physical product. The goal is to encourage maximum utilization of scripts at birthing facilities and among midwives. These recommendations were made by task force members: </w:t>
            </w:r>
          </w:p>
          <w:p w14:paraId="60DAF734" w14:textId="77777777" w:rsidR="006668CB" w:rsidRPr="006C5353" w:rsidRDefault="00000000">
            <w:pPr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lastRenderedPageBreak/>
              <w:t>Pediatrix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reported that they recently went through the same process to ensure that the “correct” messages are delivered. They printed and laminated their </w:t>
            </w:r>
            <w:proofErr w:type="gramStart"/>
            <w:r w:rsidRPr="006C5353">
              <w:rPr>
                <w:color w:val="222222"/>
                <w:sz w:val="24"/>
                <w:szCs w:val="24"/>
                <w:highlight w:val="white"/>
              </w:rPr>
              <w:t>scripts</w:t>
            </w:r>
            <w:proofErr w:type="gram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and they are attached to the screening equipment with a ring. This information provides support for all screening results and, particularly, when a screening result is out of the ordinary for the screener. The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Pediatrix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scripts emphasize the availability of a parent education video that can be accessed using the QR code on their brochure. Their handouts are on 81/2 x 11” stock. They suggest something smaller. They also included general FAQs. </w:t>
            </w:r>
          </w:p>
          <w:p w14:paraId="4B4A656D" w14:textId="77777777" w:rsidR="006668CB" w:rsidRPr="006C5353" w:rsidRDefault="00000000">
            <w:pPr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Task force members like having a QR code for parents to access resources. H&amp;V has their Virtual Waiting Room, which includes the “Loss and Found” video. Access to these materials was recommended. </w:t>
            </w:r>
          </w:p>
          <w:p w14:paraId="0021D0C8" w14:textId="77777777" w:rsidR="006668CB" w:rsidRPr="006C5353" w:rsidRDefault="00000000">
            <w:pPr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Color Recommendations: Green for pass. For Did Not Pass, there was a recommendation to avoid red or yellow so as not to associate any negative connotations of a DNP result. 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3564" w14:textId="77777777" w:rsidR="006668CB" w:rsidRPr="006C5353" w:rsidRDefault="00000000">
            <w:pPr>
              <w:rPr>
                <w:color w:val="222222"/>
                <w:sz w:val="24"/>
                <w:szCs w:val="24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lastRenderedPageBreak/>
              <w:t xml:space="preserve">COEHDI to include information about the scripts in a future issue of the 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 xml:space="preserve">Newborn Hearing 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lastRenderedPageBreak/>
              <w:t xml:space="preserve">Screening Monthly </w:t>
            </w:r>
            <w:r w:rsidRPr="006C5353">
              <w:rPr>
                <w:color w:val="222222"/>
                <w:sz w:val="24"/>
                <w:szCs w:val="24"/>
                <w:highlight w:val="white"/>
              </w:rPr>
              <w:t>newsletter.</w:t>
            </w:r>
          </w:p>
          <w:p w14:paraId="0F3401AB" w14:textId="77777777" w:rsidR="006668CB" w:rsidRPr="006C5353" w:rsidRDefault="006668CB">
            <w:pPr>
              <w:rPr>
                <w:color w:val="222222"/>
                <w:sz w:val="24"/>
                <w:szCs w:val="24"/>
                <w:highlight w:val="white"/>
              </w:rPr>
            </w:pPr>
          </w:p>
          <w:p w14:paraId="5930B1CB" w14:textId="77777777" w:rsidR="006668CB" w:rsidRPr="006C5353" w:rsidRDefault="006668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68CB" w:rsidRPr="006C5353" w14:paraId="6A723665" w14:textId="77777777">
        <w:trPr>
          <w:trHeight w:val="42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C840" w14:textId="77777777" w:rsidR="006668CB" w:rsidRPr="006C5353" w:rsidRDefault="00000000">
            <w:pPr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lastRenderedPageBreak/>
              <w:t>Resources Provided to Families with Screening Results</w:t>
            </w:r>
          </w:p>
        </w:tc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39D6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Task force members discussed the resources we can offer families at the time of the NBHS. Different resources are associated with a “pass”, a “DNP”, and a referral for an OP rescreening. The recommended resources will be available, at no charge, to birthing facilities and midwives.</w:t>
            </w:r>
          </w:p>
          <w:p w14:paraId="29CF8083" w14:textId="77777777" w:rsidR="006668CB" w:rsidRPr="006C5353" w:rsidRDefault="006668CB">
            <w:pPr>
              <w:rPr>
                <w:color w:val="222222"/>
                <w:sz w:val="24"/>
                <w:szCs w:val="24"/>
                <w:highlight w:val="white"/>
              </w:rPr>
            </w:pPr>
          </w:p>
          <w:p w14:paraId="1881FD28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These resources for children who pass the NBHS:</w:t>
            </w:r>
          </w:p>
          <w:p w14:paraId="4DD999A8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COEHDI NBHS brochure</w:t>
            </w:r>
          </w:p>
          <w:p w14:paraId="2FE8AFBA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A document (electronic, accessible by QR code and/or in print) that lists developmental milestones through the age of 36 months (or at least 30 months) to encourage awareness of a late onset hearing difference. </w:t>
            </w:r>
          </w:p>
          <w:p w14:paraId="0CAA496A" w14:textId="77777777" w:rsidR="006668CB" w:rsidRPr="006C5353" w:rsidRDefault="006668CB">
            <w:pPr>
              <w:rPr>
                <w:color w:val="222222"/>
                <w:sz w:val="24"/>
                <w:szCs w:val="24"/>
                <w:highlight w:val="white"/>
              </w:rPr>
            </w:pPr>
          </w:p>
          <w:p w14:paraId="7BCF2EFC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For children who do not pass (DNP) the NBHS:</w:t>
            </w:r>
          </w:p>
          <w:p w14:paraId="564A84B0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COEHDI NBHS brochure</w:t>
            </w:r>
          </w:p>
          <w:p w14:paraId="03D1399F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QR code to the H&amp;V 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>Roadmap</w:t>
            </w: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.  </w:t>
            </w:r>
          </w:p>
          <w:p w14:paraId="0C9C2889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Link to the H&amp;V Virtual Waiting Room (Note: A question was posed about whether or not the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>Roadmap</w:t>
            </w:r>
            <w:proofErr w:type="gram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includes a link to the Virtual Waiting Room. Brenda indicated that she </w:t>
            </w:r>
            <w:proofErr w:type="gramStart"/>
            <w:r w:rsidRPr="006C5353">
              <w:rPr>
                <w:color w:val="222222"/>
                <w:sz w:val="24"/>
                <w:szCs w:val="24"/>
                <w:highlight w:val="white"/>
              </w:rPr>
              <w:t>will</w:t>
            </w:r>
            <w:proofErr w:type="gram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investigate this.)</w:t>
            </w:r>
          </w:p>
          <w:p w14:paraId="5DCBC3D8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Brochure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(It was highly recommended that the person providing information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is knowledgeable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>. This is likely not the screener.)</w:t>
            </w:r>
          </w:p>
          <w:p w14:paraId="6D251886" w14:textId="77777777" w:rsidR="006668CB" w:rsidRPr="006C5353" w:rsidRDefault="006668CB">
            <w:pPr>
              <w:rPr>
                <w:color w:val="222222"/>
                <w:sz w:val="24"/>
                <w:szCs w:val="24"/>
                <w:highlight w:val="white"/>
              </w:rPr>
            </w:pPr>
          </w:p>
          <w:p w14:paraId="432AAB77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lastRenderedPageBreak/>
              <w:t>For children who do not pass (DNP) an outpatient rescreen:</w:t>
            </w:r>
          </w:p>
          <w:p w14:paraId="5700C587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COEHDI NBHS brochure</w:t>
            </w:r>
          </w:p>
          <w:p w14:paraId="53A6A8F4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QR code to the H&amp;V 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>Roadmap</w:t>
            </w: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.  </w:t>
            </w:r>
          </w:p>
          <w:p w14:paraId="3BAC7B79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>Link to the H&amp;V Virtual Waiting Room (Note: A question was posed about whether or not the</w:t>
            </w:r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C5353">
              <w:rPr>
                <w:i/>
                <w:color w:val="222222"/>
                <w:sz w:val="24"/>
                <w:szCs w:val="24"/>
                <w:highlight w:val="white"/>
              </w:rPr>
              <w:t>Roadmap</w:t>
            </w:r>
            <w:proofErr w:type="gram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includes a link to the virtual waiting room. Brenda indicated that she </w:t>
            </w:r>
            <w:proofErr w:type="gramStart"/>
            <w:r w:rsidRPr="006C5353">
              <w:rPr>
                <w:color w:val="222222"/>
                <w:sz w:val="24"/>
                <w:szCs w:val="24"/>
                <w:highlight w:val="white"/>
              </w:rPr>
              <w:t>will</w:t>
            </w:r>
            <w:proofErr w:type="gram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investigate this.) </w:t>
            </w:r>
          </w:p>
          <w:p w14:paraId="63099AD6" w14:textId="77777777" w:rsidR="006668CB" w:rsidRPr="006C5353" w:rsidRDefault="00000000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Brochure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(It was highly recommended that the person providing information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 xml:space="preserve"> is knowledgeable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>. This is likely not the screener.)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155" w14:textId="77777777" w:rsidR="006668CB" w:rsidRPr="006C5353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 w:rsidRPr="006C5353">
              <w:rPr>
                <w:color w:val="222222"/>
                <w:sz w:val="24"/>
                <w:szCs w:val="24"/>
                <w:highlight w:val="white"/>
              </w:rPr>
              <w:lastRenderedPageBreak/>
              <w:t xml:space="preserve">Arlene will contact the Colorado AAP (Ted Maynard or Kirsten Nelson) and/or Maureen Cunningham to solicit their recommendations about who may share information about </w:t>
            </w:r>
            <w:proofErr w:type="spellStart"/>
            <w:r w:rsidRPr="006C5353">
              <w:rPr>
                <w:color w:val="222222"/>
                <w:sz w:val="24"/>
                <w:szCs w:val="24"/>
                <w:highlight w:val="white"/>
              </w:rPr>
              <w:t>cCMV</w:t>
            </w:r>
            <w:proofErr w:type="spellEnd"/>
            <w:r w:rsidRPr="006C5353">
              <w:rPr>
                <w:color w:val="222222"/>
                <w:sz w:val="24"/>
                <w:szCs w:val="24"/>
                <w:highlight w:val="white"/>
              </w:rPr>
              <w:t>.</w:t>
            </w:r>
          </w:p>
          <w:p w14:paraId="65222855" w14:textId="77777777" w:rsidR="006668CB" w:rsidRPr="006C5353" w:rsidRDefault="006668CB">
            <w:pPr>
              <w:rPr>
                <w:color w:val="222222"/>
                <w:sz w:val="24"/>
                <w:szCs w:val="24"/>
              </w:rPr>
            </w:pPr>
          </w:p>
        </w:tc>
      </w:tr>
    </w:tbl>
    <w:p w14:paraId="3A9DB8A7" w14:textId="77777777" w:rsidR="006668CB" w:rsidRPr="006C5353" w:rsidRDefault="006668CB">
      <w:pPr>
        <w:rPr>
          <w:b/>
          <w:sz w:val="24"/>
          <w:szCs w:val="24"/>
        </w:rPr>
      </w:pPr>
    </w:p>
    <w:p w14:paraId="4FC1B117" w14:textId="77777777" w:rsidR="006668CB" w:rsidRPr="006C5353" w:rsidRDefault="006668CB">
      <w:pPr>
        <w:rPr>
          <w:b/>
          <w:sz w:val="24"/>
          <w:szCs w:val="24"/>
        </w:rPr>
      </w:pPr>
    </w:p>
    <w:tbl>
      <w:tblPr>
        <w:tblStyle w:val="a1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440"/>
        <w:gridCol w:w="11925"/>
      </w:tblGrid>
      <w:tr w:rsidR="006668CB" w:rsidRPr="006C5353" w14:paraId="07E971C6" w14:textId="77777777">
        <w:trPr>
          <w:trHeight w:val="420"/>
        </w:trPr>
        <w:tc>
          <w:tcPr>
            <w:tcW w:w="1512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91B3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Next Meeting</w:t>
            </w:r>
          </w:p>
        </w:tc>
      </w:tr>
      <w:tr w:rsidR="006668CB" w:rsidRPr="006C5353" w14:paraId="362B5DA7" w14:textId="77777777">
        <w:trPr>
          <w:trHeight w:val="42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6211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F54D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5D9E" w14:textId="77777777" w:rsidR="006668CB" w:rsidRPr="006C535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53">
              <w:rPr>
                <w:b/>
                <w:sz w:val="24"/>
                <w:szCs w:val="24"/>
              </w:rPr>
              <w:t>AGENDA ITEMS</w:t>
            </w:r>
          </w:p>
        </w:tc>
      </w:tr>
      <w:tr w:rsidR="006668CB" w:rsidRPr="006C5353" w14:paraId="478FF28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8EAF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August 8, 2023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A034" w14:textId="77777777" w:rsidR="006668CB" w:rsidRPr="006C5353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6C5353">
              <w:rPr>
                <w:sz w:val="24"/>
                <w:szCs w:val="24"/>
                <w:highlight w:val="white"/>
              </w:rPr>
              <w:t>11:00-12:00</w:t>
            </w:r>
          </w:p>
        </w:tc>
        <w:tc>
          <w:tcPr>
            <w:tcW w:w="1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8917" w14:textId="77777777" w:rsidR="006668CB" w:rsidRPr="006C5353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353">
              <w:rPr>
                <w:sz w:val="24"/>
                <w:szCs w:val="24"/>
              </w:rPr>
              <w:t>NBHS Brochure for NICU babies</w:t>
            </w:r>
          </w:p>
        </w:tc>
      </w:tr>
    </w:tbl>
    <w:p w14:paraId="7858E8B8" w14:textId="77777777" w:rsidR="006668CB" w:rsidRPr="006C5353" w:rsidRDefault="006668CB">
      <w:pPr>
        <w:rPr>
          <w:sz w:val="24"/>
          <w:szCs w:val="24"/>
        </w:rPr>
      </w:pPr>
    </w:p>
    <w:p w14:paraId="05E4E624" w14:textId="77777777" w:rsidR="006668CB" w:rsidRPr="006C5353" w:rsidRDefault="006668CB">
      <w:pPr>
        <w:rPr>
          <w:sz w:val="24"/>
          <w:szCs w:val="24"/>
        </w:rPr>
      </w:pPr>
    </w:p>
    <w:p w14:paraId="395D99F7" w14:textId="77777777" w:rsidR="006668CB" w:rsidRPr="006C5353" w:rsidRDefault="00000000">
      <w:pPr>
        <w:ind w:left="540" w:right="630"/>
        <w:rPr>
          <w:i/>
          <w:sz w:val="24"/>
          <w:szCs w:val="24"/>
        </w:rPr>
      </w:pPr>
      <w:r w:rsidRPr="006C5353">
        <w:rPr>
          <w:i/>
          <w:sz w:val="24"/>
          <w:szCs w:val="24"/>
        </w:rPr>
        <w:t xml:space="preserve">All Alliance meeting and task force meeting accommodations (e.g., American Sign Language interpreters, Cued Language Transliterators, and/or Spanish translators) must be requested at least 72 business hours, or 3 business days, in advance of the meeting. </w:t>
      </w:r>
      <w:r w:rsidRPr="006C5353">
        <w:rPr>
          <w:b/>
          <w:i/>
          <w:sz w:val="24"/>
          <w:szCs w:val="24"/>
        </w:rPr>
        <w:t>Requests may be made by contacting your task force facilitator</w:t>
      </w:r>
      <w:r w:rsidRPr="006C5353">
        <w:rPr>
          <w:i/>
          <w:sz w:val="24"/>
          <w:szCs w:val="24"/>
        </w:rPr>
        <w:t>. We will also enable Zoom's Live Transcription feature for all meetings.</w:t>
      </w:r>
    </w:p>
    <w:p w14:paraId="56E87CFC" w14:textId="77777777" w:rsidR="006668CB" w:rsidRPr="006C5353" w:rsidRDefault="006668CB">
      <w:pPr>
        <w:rPr>
          <w:sz w:val="24"/>
          <w:szCs w:val="24"/>
        </w:rPr>
      </w:pPr>
    </w:p>
    <w:sectPr w:rsidR="006668CB" w:rsidRPr="006C5353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145"/>
    <w:multiLevelType w:val="multilevel"/>
    <w:tmpl w:val="AED80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01AEC"/>
    <w:multiLevelType w:val="multilevel"/>
    <w:tmpl w:val="24A2A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E7785"/>
    <w:multiLevelType w:val="multilevel"/>
    <w:tmpl w:val="00587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4263353">
    <w:abstractNumId w:val="2"/>
  </w:num>
  <w:num w:numId="2" w16cid:durableId="1815759103">
    <w:abstractNumId w:val="1"/>
  </w:num>
  <w:num w:numId="3" w16cid:durableId="57902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CB"/>
    <w:rsid w:val="000526D3"/>
    <w:rsid w:val="006668CB"/>
    <w:rsid w:val="006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5CA4F"/>
  <w15:docId w15:val="{74AEF317-A836-1B40-8DAE-0CD3DE52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N7zb6i8B69EwGiXpeNpEfl9U0v5Fk8LN1RnKQCWf5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2</cp:revision>
  <dcterms:created xsi:type="dcterms:W3CDTF">2023-06-17T19:23:00Z</dcterms:created>
  <dcterms:modified xsi:type="dcterms:W3CDTF">2023-06-17T19:23:00Z</dcterms:modified>
</cp:coreProperties>
</file>